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D8" w:rsidRPr="002E398F" w:rsidRDefault="002E398F" w:rsidP="00B57C99">
      <w:pPr>
        <w:keepNext/>
        <w:jc w:val="left"/>
        <w:rPr>
          <w:color w:val="008D7F"/>
          <w:sz w:val="48"/>
          <w:szCs w:val="56"/>
        </w:rPr>
      </w:pPr>
      <w:r>
        <w:rPr>
          <w:b/>
          <w:color w:val="008D7F"/>
          <w:sz w:val="48"/>
          <w:szCs w:val="56"/>
        </w:rPr>
        <w:t xml:space="preserve">SPECIAL TERMS AND CONDITIONS                   FOR ETF ISSUERS </w:t>
      </w:r>
      <w:r w:rsidRPr="00B06978">
        <w:rPr>
          <w:color w:val="008D7F"/>
          <w:sz w:val="48"/>
          <w:szCs w:val="56"/>
        </w:rPr>
        <w:t>(“</w:t>
      </w:r>
      <w:r w:rsidR="00B06978">
        <w:rPr>
          <w:color w:val="008D7F"/>
          <w:sz w:val="48"/>
          <w:szCs w:val="56"/>
        </w:rPr>
        <w:t>Terms and Conditions</w:t>
      </w:r>
      <w:r w:rsidRPr="00B06978">
        <w:rPr>
          <w:color w:val="008D7F"/>
          <w:sz w:val="48"/>
          <w:szCs w:val="56"/>
        </w:rPr>
        <w:t>”)</w:t>
      </w:r>
    </w:p>
    <w:p w:rsidR="00DD3AFD" w:rsidRDefault="00DD3AFD" w:rsidP="00B57C99">
      <w:pPr>
        <w:keepNext/>
        <w:jc w:val="left"/>
        <w:rPr>
          <w:color w:val="008D7F"/>
          <w:sz w:val="28"/>
          <w:szCs w:val="28"/>
        </w:rPr>
      </w:pPr>
      <w:r w:rsidRPr="009C127F">
        <w:rPr>
          <w:color w:val="008D7F"/>
          <w:sz w:val="28"/>
          <w:szCs w:val="28"/>
        </w:rPr>
        <w:t xml:space="preserve">(Version </w:t>
      </w:r>
      <w:r w:rsidR="009F5212">
        <w:rPr>
          <w:color w:val="008D7F"/>
          <w:sz w:val="28"/>
          <w:szCs w:val="28"/>
        </w:rPr>
        <w:t>5</w:t>
      </w:r>
      <w:r w:rsidR="002C2FE0">
        <w:rPr>
          <w:color w:val="008D7F"/>
          <w:sz w:val="28"/>
          <w:szCs w:val="28"/>
        </w:rPr>
        <w:t>.0</w:t>
      </w:r>
      <w:r w:rsidRPr="009C127F">
        <w:rPr>
          <w:color w:val="008D7F"/>
          <w:sz w:val="28"/>
          <w:szCs w:val="28"/>
        </w:rPr>
        <w:t>)</w:t>
      </w:r>
    </w:p>
    <w:p w:rsidR="00697EB6" w:rsidRDefault="00697EB6" w:rsidP="00B57C99">
      <w:pPr>
        <w:keepNext/>
        <w:jc w:val="left"/>
        <w:rPr>
          <w:color w:val="008D7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4216"/>
      </w:tblGrid>
      <w:tr w:rsidR="00311873" w:rsidTr="00ED453F">
        <w:tc>
          <w:tcPr>
            <w:tcW w:w="1384" w:type="dxa"/>
          </w:tcPr>
          <w:p w:rsidR="00311873" w:rsidRPr="00311873" w:rsidRDefault="00311873" w:rsidP="00B57C99">
            <w:pPr>
              <w:pStyle w:val="TableBody"/>
              <w:keepNext/>
              <w:rPr>
                <w:b/>
                <w:sz w:val="22"/>
              </w:rPr>
            </w:pPr>
            <w:r w:rsidRPr="00311873">
              <w:rPr>
                <w:b/>
                <w:sz w:val="22"/>
              </w:rPr>
              <w:t>BETWEEN</w:t>
            </w:r>
          </w:p>
        </w:tc>
        <w:tc>
          <w:tcPr>
            <w:tcW w:w="4253" w:type="dxa"/>
          </w:tcPr>
          <w:p w:rsidR="00311873" w:rsidRPr="00311873" w:rsidRDefault="00311873" w:rsidP="00B57C99">
            <w:pPr>
              <w:pStyle w:val="TableBody"/>
              <w:keepNext/>
              <w:rPr>
                <w:sz w:val="22"/>
              </w:rPr>
            </w:pPr>
            <w:r>
              <w:rPr>
                <w:sz w:val="22"/>
              </w:rPr>
              <w:t xml:space="preserve">Euronext N.V. </w:t>
            </w:r>
          </w:p>
        </w:tc>
        <w:tc>
          <w:tcPr>
            <w:tcW w:w="4216" w:type="dxa"/>
          </w:tcPr>
          <w:p w:rsidR="00311873" w:rsidRPr="00311873" w:rsidRDefault="00311873" w:rsidP="00B57C99">
            <w:pPr>
              <w:pStyle w:val="TableBody"/>
              <w:keepNext/>
              <w:rPr>
                <w:sz w:val="22"/>
              </w:rPr>
            </w:pPr>
          </w:p>
        </w:tc>
      </w:tr>
      <w:tr w:rsidR="00311873" w:rsidTr="00ED453F">
        <w:tc>
          <w:tcPr>
            <w:tcW w:w="1384" w:type="dxa"/>
          </w:tcPr>
          <w:p w:rsidR="00311873" w:rsidRPr="00311873" w:rsidRDefault="00311873" w:rsidP="00B57C99">
            <w:pPr>
              <w:pStyle w:val="TableBody"/>
              <w:keepNext/>
              <w:rPr>
                <w:sz w:val="22"/>
              </w:rPr>
            </w:pPr>
          </w:p>
        </w:tc>
        <w:tc>
          <w:tcPr>
            <w:tcW w:w="4253" w:type="dxa"/>
          </w:tcPr>
          <w:p w:rsidR="00311873" w:rsidRPr="00311873" w:rsidRDefault="00311873" w:rsidP="00B57C99">
            <w:pPr>
              <w:pStyle w:val="TableBody"/>
              <w:keepNext/>
              <w:rPr>
                <w:sz w:val="22"/>
              </w:rPr>
            </w:pPr>
            <w:r>
              <w:rPr>
                <w:sz w:val="22"/>
              </w:rPr>
              <w:t>Beursplein 5, (1012 JW) Amsterdam</w:t>
            </w:r>
          </w:p>
        </w:tc>
        <w:tc>
          <w:tcPr>
            <w:tcW w:w="4216" w:type="dxa"/>
          </w:tcPr>
          <w:p w:rsidR="00311873" w:rsidRPr="00311873" w:rsidRDefault="00311873" w:rsidP="00B57C99">
            <w:pPr>
              <w:pStyle w:val="TableBody"/>
              <w:keepNext/>
              <w:rPr>
                <w:sz w:val="22"/>
              </w:rPr>
            </w:pPr>
          </w:p>
        </w:tc>
      </w:tr>
      <w:tr w:rsidR="00311873" w:rsidTr="00ED453F">
        <w:tc>
          <w:tcPr>
            <w:tcW w:w="1384" w:type="dxa"/>
          </w:tcPr>
          <w:p w:rsidR="00311873" w:rsidRPr="00311873" w:rsidRDefault="00311873" w:rsidP="00B57C99">
            <w:pPr>
              <w:pStyle w:val="TableBody"/>
              <w:keepNext/>
              <w:rPr>
                <w:sz w:val="22"/>
              </w:rPr>
            </w:pPr>
          </w:p>
        </w:tc>
        <w:tc>
          <w:tcPr>
            <w:tcW w:w="4253" w:type="dxa"/>
          </w:tcPr>
          <w:p w:rsidR="00311873" w:rsidRPr="00311873" w:rsidRDefault="00311873" w:rsidP="00B57C99">
            <w:pPr>
              <w:pStyle w:val="TableBody"/>
              <w:keepNext/>
              <w:rPr>
                <w:sz w:val="22"/>
              </w:rPr>
            </w:pPr>
            <w:r>
              <w:rPr>
                <w:sz w:val="22"/>
              </w:rPr>
              <w:t xml:space="preserve">The Netherlands </w:t>
            </w:r>
          </w:p>
        </w:tc>
        <w:tc>
          <w:tcPr>
            <w:tcW w:w="4216" w:type="dxa"/>
          </w:tcPr>
          <w:p w:rsidR="00311873" w:rsidRPr="00311873" w:rsidRDefault="00311873" w:rsidP="00B57C99">
            <w:pPr>
              <w:pStyle w:val="TableBody"/>
              <w:keepNext/>
              <w:rPr>
                <w:sz w:val="22"/>
              </w:rPr>
            </w:pPr>
            <w:r>
              <w:rPr>
                <w:sz w:val="22"/>
              </w:rPr>
              <w:t>- hereinafter referred to as (“</w:t>
            </w:r>
            <w:r w:rsidRPr="00311873">
              <w:rPr>
                <w:b/>
                <w:sz w:val="22"/>
              </w:rPr>
              <w:t>Euronext</w:t>
            </w:r>
            <w:r>
              <w:rPr>
                <w:sz w:val="22"/>
              </w:rPr>
              <w:t>”)</w:t>
            </w:r>
          </w:p>
        </w:tc>
      </w:tr>
      <w:tr w:rsidR="00311873" w:rsidTr="00ED453F">
        <w:tc>
          <w:tcPr>
            <w:tcW w:w="1384" w:type="dxa"/>
          </w:tcPr>
          <w:p w:rsidR="00311873" w:rsidRPr="00311873" w:rsidRDefault="00311873" w:rsidP="00B57C99">
            <w:pPr>
              <w:pStyle w:val="TableBody"/>
              <w:keepNext/>
              <w:rPr>
                <w:b/>
                <w:sz w:val="22"/>
              </w:rPr>
            </w:pPr>
            <w:r w:rsidRPr="00311873">
              <w:rPr>
                <w:b/>
                <w:sz w:val="22"/>
              </w:rPr>
              <w:t>AND</w:t>
            </w:r>
          </w:p>
        </w:tc>
        <w:tc>
          <w:tcPr>
            <w:tcW w:w="4253" w:type="dxa"/>
            <w:tcBorders>
              <w:bottom w:val="single" w:sz="4" w:space="0" w:color="auto"/>
            </w:tcBorders>
          </w:tcPr>
          <w:p w:rsidR="00311873" w:rsidRPr="00311873" w:rsidRDefault="009574B8" w:rsidP="00B57C99">
            <w:pPr>
              <w:pStyle w:val="TableBody"/>
              <w:keepNext/>
              <w:rPr>
                <w:sz w:val="22"/>
              </w:rPr>
            </w:pPr>
            <w:r>
              <w:rPr>
                <w:sz w:val="22"/>
              </w:rPr>
              <w:fldChar w:fldCharType="begin">
                <w:ffData>
                  <w:name w:val="Text27"/>
                  <w:enabled/>
                  <w:calcOnExit w:val="0"/>
                  <w:textInput/>
                </w:ffData>
              </w:fldChar>
            </w:r>
            <w:bookmarkStart w:id="0" w:name="Text27"/>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tc>
        <w:tc>
          <w:tcPr>
            <w:tcW w:w="4216" w:type="dxa"/>
          </w:tcPr>
          <w:p w:rsidR="00311873" w:rsidRPr="00311873" w:rsidRDefault="00311873" w:rsidP="00B57C99">
            <w:pPr>
              <w:pStyle w:val="TableBody"/>
              <w:keepNext/>
              <w:rPr>
                <w:sz w:val="22"/>
              </w:rPr>
            </w:pPr>
          </w:p>
        </w:tc>
      </w:tr>
      <w:tr w:rsidR="00311873" w:rsidTr="00ED453F">
        <w:tc>
          <w:tcPr>
            <w:tcW w:w="1384" w:type="dxa"/>
          </w:tcPr>
          <w:p w:rsidR="00311873" w:rsidRPr="00311873" w:rsidRDefault="00311873" w:rsidP="00B57C99">
            <w:pPr>
              <w:pStyle w:val="TableBody"/>
              <w:keepNext/>
              <w:rPr>
                <w:sz w:val="22"/>
              </w:rPr>
            </w:pPr>
          </w:p>
        </w:tc>
        <w:tc>
          <w:tcPr>
            <w:tcW w:w="4253" w:type="dxa"/>
            <w:tcBorders>
              <w:top w:val="single" w:sz="4" w:space="0" w:color="auto"/>
              <w:bottom w:val="single" w:sz="4" w:space="0" w:color="auto"/>
            </w:tcBorders>
          </w:tcPr>
          <w:p w:rsidR="00311873" w:rsidRPr="00311873" w:rsidRDefault="009574B8" w:rsidP="00B57C99">
            <w:pPr>
              <w:pStyle w:val="TableBody"/>
              <w:keepNext/>
              <w:rPr>
                <w:sz w:val="22"/>
              </w:rPr>
            </w:pPr>
            <w:r>
              <w:rPr>
                <w:sz w:val="22"/>
              </w:rPr>
              <w:fldChar w:fldCharType="begin">
                <w:ffData>
                  <w:name w:val="Text28"/>
                  <w:enabled/>
                  <w:calcOnExit w:val="0"/>
                  <w:textInput/>
                </w:ffData>
              </w:fldChar>
            </w:r>
            <w:bookmarkStart w:id="2"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4216" w:type="dxa"/>
          </w:tcPr>
          <w:p w:rsidR="00311873" w:rsidRPr="00311873" w:rsidRDefault="00311873" w:rsidP="00B57C99">
            <w:pPr>
              <w:pStyle w:val="TableBody"/>
              <w:keepNext/>
              <w:rPr>
                <w:sz w:val="22"/>
              </w:rPr>
            </w:pPr>
          </w:p>
        </w:tc>
      </w:tr>
      <w:tr w:rsidR="00311873" w:rsidTr="00ED453F">
        <w:tc>
          <w:tcPr>
            <w:tcW w:w="1384" w:type="dxa"/>
          </w:tcPr>
          <w:p w:rsidR="00311873" w:rsidRPr="00311873" w:rsidRDefault="00311873" w:rsidP="00B57C99">
            <w:pPr>
              <w:pStyle w:val="TableBody"/>
              <w:keepNext/>
              <w:rPr>
                <w:sz w:val="22"/>
              </w:rPr>
            </w:pPr>
          </w:p>
        </w:tc>
        <w:tc>
          <w:tcPr>
            <w:tcW w:w="4253" w:type="dxa"/>
            <w:tcBorders>
              <w:top w:val="single" w:sz="4" w:space="0" w:color="auto"/>
              <w:bottom w:val="single" w:sz="4" w:space="0" w:color="auto"/>
            </w:tcBorders>
          </w:tcPr>
          <w:p w:rsidR="00311873" w:rsidRPr="00311873" w:rsidRDefault="009574B8" w:rsidP="00B57C99">
            <w:pPr>
              <w:pStyle w:val="TableBody"/>
              <w:keepNext/>
              <w:rPr>
                <w:sz w:val="22"/>
              </w:rPr>
            </w:pPr>
            <w:r>
              <w:rPr>
                <w:sz w:val="22"/>
              </w:rPr>
              <w:fldChar w:fldCharType="begin">
                <w:ffData>
                  <w:name w:val="Text29"/>
                  <w:enabled/>
                  <w:calcOnExit w:val="0"/>
                  <w:textInput/>
                </w:ffData>
              </w:fldChar>
            </w:r>
            <w:bookmarkStart w:id="3"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4216" w:type="dxa"/>
          </w:tcPr>
          <w:p w:rsidR="00311873" w:rsidRPr="00311873" w:rsidRDefault="00311873" w:rsidP="00B57C99">
            <w:pPr>
              <w:pStyle w:val="TableBody"/>
              <w:keepNext/>
              <w:rPr>
                <w:sz w:val="22"/>
              </w:rPr>
            </w:pPr>
          </w:p>
        </w:tc>
      </w:tr>
      <w:tr w:rsidR="00311873" w:rsidTr="00ED453F">
        <w:tc>
          <w:tcPr>
            <w:tcW w:w="1384" w:type="dxa"/>
          </w:tcPr>
          <w:p w:rsidR="00311873" w:rsidRPr="00311873" w:rsidRDefault="00311873" w:rsidP="00B57C99">
            <w:pPr>
              <w:pStyle w:val="TableBody"/>
              <w:keepNext/>
              <w:rPr>
                <w:sz w:val="22"/>
              </w:rPr>
            </w:pPr>
          </w:p>
        </w:tc>
        <w:tc>
          <w:tcPr>
            <w:tcW w:w="4253" w:type="dxa"/>
            <w:tcBorders>
              <w:top w:val="single" w:sz="4" w:space="0" w:color="auto"/>
              <w:bottom w:val="single" w:sz="4" w:space="0" w:color="auto"/>
            </w:tcBorders>
          </w:tcPr>
          <w:p w:rsidR="00311873" w:rsidRPr="00311873" w:rsidRDefault="009574B8" w:rsidP="00B57C99">
            <w:pPr>
              <w:pStyle w:val="TableBody"/>
              <w:keepNext/>
              <w:rPr>
                <w:sz w:val="22"/>
              </w:rPr>
            </w:pPr>
            <w:r>
              <w:rPr>
                <w:sz w:val="22"/>
              </w:rPr>
              <w:fldChar w:fldCharType="begin">
                <w:ffData>
                  <w:name w:val="Text30"/>
                  <w:enabled/>
                  <w:calcOnExit w:val="0"/>
                  <w:textInput/>
                </w:ffData>
              </w:fldChar>
            </w:r>
            <w:bookmarkStart w:id="4"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4216" w:type="dxa"/>
          </w:tcPr>
          <w:p w:rsidR="00311873" w:rsidRPr="00311873" w:rsidRDefault="00311873" w:rsidP="00B57C99">
            <w:pPr>
              <w:pStyle w:val="TableBody"/>
              <w:keepNext/>
              <w:rPr>
                <w:sz w:val="22"/>
              </w:rPr>
            </w:pPr>
            <w:r>
              <w:rPr>
                <w:sz w:val="22"/>
              </w:rPr>
              <w:t>- hereinafter referred to as (“</w:t>
            </w:r>
            <w:r w:rsidRPr="00311873">
              <w:rPr>
                <w:b/>
                <w:sz w:val="22"/>
              </w:rPr>
              <w:t>the Issuer</w:t>
            </w:r>
            <w:r>
              <w:rPr>
                <w:sz w:val="22"/>
              </w:rPr>
              <w:t>”)</w:t>
            </w:r>
          </w:p>
        </w:tc>
      </w:tr>
    </w:tbl>
    <w:p w:rsidR="009611B9" w:rsidRPr="009611B9" w:rsidRDefault="009611B9" w:rsidP="00B57C99">
      <w:pPr>
        <w:keepNext/>
        <w:jc w:val="left"/>
        <w:rPr>
          <w:color w:val="008D7F"/>
          <w:szCs w:val="28"/>
        </w:rPr>
      </w:pPr>
    </w:p>
    <w:p w:rsidR="00697EB6" w:rsidRDefault="00697EB6" w:rsidP="00B57C99">
      <w:pPr>
        <w:keepNext/>
        <w:jc w:val="left"/>
      </w:pPr>
      <w:r>
        <w:t>Whereas:</w:t>
      </w:r>
    </w:p>
    <w:p w:rsidR="00697EB6" w:rsidRPr="00350454" w:rsidRDefault="00697EB6" w:rsidP="00B57C99">
      <w:pPr>
        <w:pStyle w:val="ListParagraph"/>
        <w:keepNext/>
        <w:numPr>
          <w:ilvl w:val="0"/>
          <w:numId w:val="24"/>
        </w:numPr>
        <w:ind w:left="567" w:hanging="567"/>
        <w:contextualSpacing w:val="0"/>
        <w:jc w:val="left"/>
      </w:pPr>
      <w:r w:rsidRPr="00350454">
        <w:t>Euronext</w:t>
      </w:r>
      <w:r>
        <w:t xml:space="preserve"> </w:t>
      </w:r>
      <w:r w:rsidRPr="00350454">
        <w:t>collects, creates, compiles, markets and disseminates, whether directly or indirectly, Information;</w:t>
      </w:r>
    </w:p>
    <w:p w:rsidR="00697EB6" w:rsidRPr="00350454" w:rsidRDefault="00697EB6" w:rsidP="00B57C99">
      <w:pPr>
        <w:pStyle w:val="ListParagraph"/>
        <w:keepNext/>
        <w:numPr>
          <w:ilvl w:val="0"/>
          <w:numId w:val="24"/>
        </w:numPr>
        <w:ind w:left="567" w:hanging="567"/>
        <w:contextualSpacing w:val="0"/>
        <w:jc w:val="left"/>
      </w:pPr>
      <w:r w:rsidRPr="00350454">
        <w:t xml:space="preserve">The </w:t>
      </w:r>
      <w:r>
        <w:t xml:space="preserve">Issuer </w:t>
      </w:r>
      <w:r w:rsidRPr="00350454">
        <w:t>wish</w:t>
      </w:r>
      <w:r>
        <w:t>es</w:t>
      </w:r>
      <w:r w:rsidRPr="00350454">
        <w:t xml:space="preserve"> to </w:t>
      </w:r>
      <w:r>
        <w:t xml:space="preserve">Publicly Display the </w:t>
      </w:r>
      <w:r w:rsidR="00D561B8">
        <w:t xml:space="preserve">Last Price, </w:t>
      </w:r>
      <w:r>
        <w:t xml:space="preserve">best bid, the best offer and the iNAV of the ETF(s) that the Issuer has listed on one or more of Euronext’s and/or Euronext Affiliate’s </w:t>
      </w:r>
      <w:r w:rsidR="006A5B14">
        <w:t>markets (</w:t>
      </w:r>
      <w:r>
        <w:t>“</w:t>
      </w:r>
      <w:r w:rsidRPr="00C17293">
        <w:rPr>
          <w:b/>
        </w:rPr>
        <w:t xml:space="preserve">Relevant </w:t>
      </w:r>
      <w:r w:rsidRPr="00F9121B">
        <w:rPr>
          <w:b/>
        </w:rPr>
        <w:t>Information</w:t>
      </w:r>
      <w:r>
        <w:t>”) on its Website</w:t>
      </w:r>
      <w:r w:rsidRPr="00350454">
        <w:t xml:space="preserve">; </w:t>
      </w:r>
    </w:p>
    <w:p w:rsidR="00697EB6" w:rsidRDefault="00697EB6" w:rsidP="00B57C99">
      <w:pPr>
        <w:pStyle w:val="ListParagraph"/>
        <w:keepNext/>
        <w:numPr>
          <w:ilvl w:val="0"/>
          <w:numId w:val="24"/>
        </w:numPr>
        <w:ind w:left="567" w:hanging="567"/>
        <w:contextualSpacing w:val="0"/>
        <w:jc w:val="left"/>
      </w:pPr>
      <w:r w:rsidRPr="00350454">
        <w:t xml:space="preserve">Euronext agrees to provide the </w:t>
      </w:r>
      <w:r>
        <w:t>Issuer</w:t>
      </w:r>
      <w:r w:rsidRPr="00350454">
        <w:t xml:space="preserve"> </w:t>
      </w:r>
      <w:r>
        <w:t>the non-exclusive right</w:t>
      </w:r>
      <w:r w:rsidRPr="00350454">
        <w:t xml:space="preserve"> </w:t>
      </w:r>
      <w:r>
        <w:t xml:space="preserve">to receive and Publicly Display on its own company Website </w:t>
      </w:r>
      <w:r w:rsidR="00E95034">
        <w:t xml:space="preserve">Delayed </w:t>
      </w:r>
      <w:r>
        <w:t xml:space="preserve">Relevant Information, subject to and in accordance with these Terms and Conditions. </w:t>
      </w:r>
    </w:p>
    <w:p w:rsidR="009611B9" w:rsidRDefault="009611B9" w:rsidP="009611B9">
      <w:pPr>
        <w:keepNext/>
        <w:jc w:val="left"/>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5104"/>
        <w:gridCol w:w="4677"/>
      </w:tblGrid>
      <w:tr w:rsidR="009611B9" w:rsidTr="00C661B9">
        <w:tc>
          <w:tcPr>
            <w:tcW w:w="5104" w:type="dxa"/>
            <w:tcBorders>
              <w:top w:val="nil"/>
              <w:bottom w:val="nil"/>
              <w:right w:val="nil"/>
            </w:tcBorders>
          </w:tcPr>
          <w:p w:rsidR="009611B9" w:rsidRDefault="009611B9" w:rsidP="000F6F7F">
            <w:pPr>
              <w:pStyle w:val="TableBodyBullet3pt"/>
            </w:pPr>
            <w:r>
              <w:t>The “</w:t>
            </w:r>
            <w:r w:rsidRPr="009611B9">
              <w:rPr>
                <w:b/>
              </w:rPr>
              <w:t>Effective Date</w:t>
            </w:r>
            <w:r>
              <w:t>” of the</w:t>
            </w:r>
            <w:r w:rsidR="000F6F7F">
              <w:t>se Terms and Conditions is</w:t>
            </w:r>
          </w:p>
        </w:tc>
        <w:tc>
          <w:tcPr>
            <w:tcW w:w="4677" w:type="dxa"/>
            <w:tcBorders>
              <w:top w:val="nil"/>
              <w:left w:val="nil"/>
              <w:right w:val="nil"/>
            </w:tcBorders>
          </w:tcPr>
          <w:p w:rsidR="009611B9" w:rsidRDefault="009574B8" w:rsidP="000F6F7F">
            <w:pPr>
              <w:pStyle w:val="TableBodyBullet3pt"/>
            </w:pPr>
            <w:r>
              <w:fldChar w:fldCharType="begin">
                <w:ffData>
                  <w:name w:val="Text25"/>
                  <w:enabled/>
                  <w:calcOnExit w:val="0"/>
                  <w:textInput/>
                </w:ffData>
              </w:fldChar>
            </w:r>
            <w:bookmarkStart w:id="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9611B9" w:rsidRDefault="009611B9" w:rsidP="000F6F7F">
      <w:pPr>
        <w:pStyle w:val="TableBodyBullet3pt"/>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4111"/>
        <w:gridCol w:w="5670"/>
      </w:tblGrid>
      <w:tr w:rsidR="000F6F7F" w:rsidTr="00C661B9">
        <w:tc>
          <w:tcPr>
            <w:tcW w:w="4111" w:type="dxa"/>
            <w:tcBorders>
              <w:top w:val="nil"/>
              <w:bottom w:val="nil"/>
              <w:right w:val="nil"/>
            </w:tcBorders>
          </w:tcPr>
          <w:p w:rsidR="000F6F7F" w:rsidRDefault="000F6F7F" w:rsidP="000F6F7F">
            <w:pPr>
              <w:pStyle w:val="TableBodyBullet3pt"/>
            </w:pPr>
            <w:r>
              <w:t>The name of our “</w:t>
            </w:r>
            <w:r>
              <w:rPr>
                <w:b/>
              </w:rPr>
              <w:t>Information Supplier</w:t>
            </w:r>
            <w:r>
              <w:t>” is</w:t>
            </w:r>
          </w:p>
        </w:tc>
        <w:tc>
          <w:tcPr>
            <w:tcW w:w="5670" w:type="dxa"/>
            <w:tcBorders>
              <w:top w:val="nil"/>
              <w:left w:val="nil"/>
              <w:right w:val="nil"/>
            </w:tcBorders>
          </w:tcPr>
          <w:p w:rsidR="000F6F7F" w:rsidRDefault="009574B8" w:rsidP="000F6F7F">
            <w:pPr>
              <w:pStyle w:val="TableBodyBullet3pt"/>
            </w:pPr>
            <w:r>
              <w:fldChar w:fldCharType="begin">
                <w:ffData>
                  <w:name w:val="Text26"/>
                  <w:enabled/>
                  <w:calcOnExit w:val="0"/>
                  <w:textInput/>
                </w:ffData>
              </w:fldChar>
            </w:r>
            <w:bookmarkStart w:id="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611B9" w:rsidRPr="009A147E" w:rsidRDefault="00C661B9" w:rsidP="009611B9">
      <w:pPr>
        <w:keepNext/>
        <w:jc w:val="left"/>
        <w:rPr>
          <w:i/>
          <w:sz w:val="16"/>
        </w:rPr>
      </w:pPr>
      <w:r w:rsidRPr="009A147E">
        <w:rPr>
          <w:i/>
          <w:sz w:val="16"/>
        </w:rPr>
        <w:t>If you obtain the Relevant Information via a direct</w:t>
      </w:r>
      <w:r w:rsidR="00465EF4">
        <w:rPr>
          <w:i/>
          <w:sz w:val="16"/>
        </w:rPr>
        <w:t xml:space="preserve"> (SFTI)</w:t>
      </w:r>
      <w:r w:rsidRPr="009A147E">
        <w:rPr>
          <w:i/>
          <w:sz w:val="16"/>
        </w:rPr>
        <w:t xml:space="preserve"> feed from Euronext, please name Euronext as your Information Supplier. </w:t>
      </w:r>
    </w:p>
    <w:p w:rsidR="009E0C62" w:rsidRPr="00CF68FD" w:rsidRDefault="009E0C62" w:rsidP="00B57C99">
      <w:pPr>
        <w:pStyle w:val="Heading2"/>
        <w:numPr>
          <w:ilvl w:val="0"/>
          <w:numId w:val="14"/>
        </w:numPr>
        <w:pBdr>
          <w:top w:val="none" w:sz="0" w:space="0" w:color="auto"/>
          <w:bottom w:val="single" w:sz="8" w:space="1" w:color="008D7F"/>
        </w:pBdr>
        <w:ind w:left="601" w:hanging="567"/>
        <w:rPr>
          <w:sz w:val="26"/>
        </w:rPr>
      </w:pPr>
      <w:r>
        <w:rPr>
          <w:sz w:val="26"/>
        </w:rPr>
        <w:t>definitions</w:t>
      </w:r>
    </w:p>
    <w:p w:rsidR="004F05F6" w:rsidRDefault="004F05F6" w:rsidP="00B57C99">
      <w:pPr>
        <w:pStyle w:val="BodyText"/>
        <w:keepNext/>
        <w:spacing w:after="120"/>
      </w:pPr>
      <w:r>
        <w:t>“</w:t>
      </w:r>
      <w:r w:rsidRPr="00E11BAE">
        <w:rPr>
          <w:b/>
        </w:rPr>
        <w:t>Affiliate</w:t>
      </w:r>
      <w:r>
        <w:t xml:space="preserve">” means only the subsidiaries and any holding companies of the Issuer, and the subsidiaries of such holding companies, that are listed in Appendix A. For the purpose of this definition, a subsidiary means a company in which more than </w:t>
      </w:r>
      <w:r w:rsidR="00CF0C1B">
        <w:t>50</w:t>
      </w:r>
      <w:r>
        <w:t>% (one hundred percent) of the issued share capital is owned directly or indirectly by the Issuer and over which it exercises effective control. For the purpose of this definition, a holding company means a company that owns dire</w:t>
      </w:r>
      <w:r w:rsidR="00CF0C1B">
        <w:t>ctly or indirectly more than 50</w:t>
      </w:r>
      <w:r>
        <w:t xml:space="preserve">% (one hundred percent) of the issued share capital in the Issuer and exercise effective control over the Issuer. </w:t>
      </w:r>
      <w:r w:rsidR="00CF0C1B">
        <w:t xml:space="preserve">It </w:t>
      </w:r>
      <w:r w:rsidR="00CF0C1B">
        <w:lastRenderedPageBreak/>
        <w:t xml:space="preserve">will also include any legal entity under common control with the Issuer, that is listed in Appendix A, and where “control” means ownership, direct or indirect, of more than 50% (fifty percent) of the issued share capital of an entity or, where a legal entity does not have issued share capital, the legal power to direct the affairs of that legal entity by means of voting control. </w:t>
      </w:r>
    </w:p>
    <w:p w:rsidR="009E0C62" w:rsidRDefault="009E0C62" w:rsidP="00D561B8">
      <w:pPr>
        <w:pStyle w:val="BodyText"/>
        <w:keepNext/>
        <w:spacing w:after="120"/>
      </w:pPr>
      <w:r>
        <w:t>“</w:t>
      </w:r>
      <w:r w:rsidRPr="009E0C62">
        <w:rPr>
          <w:b/>
          <w:bCs/>
        </w:rPr>
        <w:t>Delayed</w:t>
      </w:r>
      <w:r>
        <w:t xml:space="preserve">” means 15 (fifteen) minutes or more have elapsed from the time the Information was first disseminated by Euronext or a Euronext Affiliate, such period of delay being determined by reference to the time/date stamp of the system concerned, up and until midnight CET on the day the Information was published by Euronext or the Euronext Affiliate. </w:t>
      </w:r>
    </w:p>
    <w:p w:rsidR="009E0C62" w:rsidRDefault="009E0C62" w:rsidP="00D561B8">
      <w:pPr>
        <w:pStyle w:val="BodyText"/>
        <w:keepNext/>
        <w:spacing w:after="120"/>
      </w:pPr>
      <w:r>
        <w:t>“</w:t>
      </w:r>
      <w:r w:rsidRPr="009E0C62">
        <w:rPr>
          <w:b/>
        </w:rPr>
        <w:t>ETFs</w:t>
      </w:r>
      <w:r>
        <w:t xml:space="preserve">” means exchange traded funds. </w:t>
      </w:r>
      <w:r>
        <w:tab/>
      </w:r>
    </w:p>
    <w:p w:rsidR="009E0C62" w:rsidRPr="009E0C62" w:rsidRDefault="009E0C62" w:rsidP="00D561B8">
      <w:pPr>
        <w:pStyle w:val="BodyText"/>
        <w:keepNext/>
        <w:spacing w:after="120"/>
        <w:rPr>
          <w:lang w:val="en-US"/>
        </w:rPr>
      </w:pPr>
      <w:r w:rsidRPr="0086676E">
        <w:t>“</w:t>
      </w:r>
      <w:r w:rsidRPr="0086676E">
        <w:rPr>
          <w:b/>
        </w:rPr>
        <w:t>Euronext Affiliate</w:t>
      </w:r>
      <w:r w:rsidRPr="0086676E">
        <w:t xml:space="preserve">” means any </w:t>
      </w:r>
      <w:r w:rsidRPr="0086676E">
        <w:rPr>
          <w:lang w:val="en-US"/>
        </w:rPr>
        <w:t>subsidiary and any holding company of Euronext, and any subsidiary of such holding company. For the purposes of this definition, a subsidiary means a company in which more than 50% (fifty percent) of the issued share capital is owned directly or indirectly by Euronext (or any holding company of Euronext, as applicable) and over which it exercises effective control. For the purpose of this definition, a holding company means a company that owns directly or indirectly more than 50% (fifty percent) of the issued share capital in Euronext and exercises effective control over Euronext</w:t>
      </w:r>
      <w:r w:rsidRPr="009E0C62">
        <w:rPr>
          <w:lang w:val="en-US"/>
        </w:rPr>
        <w:t>.</w:t>
      </w:r>
    </w:p>
    <w:p w:rsidR="009E0C62" w:rsidRDefault="009E0C62" w:rsidP="00D561B8">
      <w:pPr>
        <w:pStyle w:val="BodyText"/>
        <w:keepNext/>
        <w:spacing w:after="120"/>
      </w:pPr>
      <w:r w:rsidRPr="009E0C62">
        <w:rPr>
          <w:lang w:val="en-US"/>
        </w:rPr>
        <w:t>“</w:t>
      </w:r>
      <w:r w:rsidRPr="009E0C62">
        <w:rPr>
          <w:b/>
          <w:lang w:val="en-US"/>
        </w:rPr>
        <w:t>iNAV</w:t>
      </w:r>
      <w:r w:rsidRPr="009E0C62">
        <w:rPr>
          <w:lang w:val="en-US"/>
        </w:rPr>
        <w:t xml:space="preserve">” means indicative net asset value. </w:t>
      </w:r>
    </w:p>
    <w:p w:rsidR="009E0C62" w:rsidRDefault="009E0C62" w:rsidP="00D561B8">
      <w:pPr>
        <w:pStyle w:val="BodyText"/>
        <w:keepNext/>
        <w:spacing w:after="120"/>
      </w:pPr>
      <w:r>
        <w:t>“</w:t>
      </w:r>
      <w:r w:rsidRPr="009E0C62">
        <w:rPr>
          <w:b/>
          <w:bCs/>
        </w:rPr>
        <w:t>Information</w:t>
      </w:r>
      <w:r>
        <w:t xml:space="preserve">” means market data and information including, without limitation, quotes, prices, volume, time stamps, and other data and information in respect of, amongst other things, indices and the securities, bonds, futures contracts, option contracts, commodities and other instruments, which is (i) marketed by Euronext  and (ii) supplied to the Issuer either directly or indirectly. </w:t>
      </w:r>
    </w:p>
    <w:p w:rsidR="00D561B8" w:rsidRPr="00D561B8" w:rsidRDefault="00D561B8" w:rsidP="00D561B8">
      <w:pPr>
        <w:keepNext/>
      </w:pPr>
      <w:r>
        <w:t>“</w:t>
      </w:r>
      <w:r w:rsidRPr="00D561B8">
        <w:rPr>
          <w:b/>
        </w:rPr>
        <w:t>Last Price</w:t>
      </w:r>
      <w:r>
        <w:t xml:space="preserve">” means the traded prices, quantities, open, high, low, and closing prices of the ETFs traded. </w:t>
      </w:r>
    </w:p>
    <w:p w:rsidR="009E0C62" w:rsidRDefault="009E0C62" w:rsidP="00D561B8">
      <w:pPr>
        <w:pStyle w:val="BodyText"/>
        <w:keepNext/>
        <w:spacing w:after="120"/>
      </w:pPr>
      <w:r>
        <w:t>“</w:t>
      </w:r>
      <w:r w:rsidRPr="009E0C62">
        <w:rPr>
          <w:b/>
          <w:bCs/>
        </w:rPr>
        <w:t>Public Display</w:t>
      </w:r>
      <w:r>
        <w:t>” or “</w:t>
      </w:r>
      <w:r w:rsidRPr="009E0C62">
        <w:rPr>
          <w:b/>
          <w:bCs/>
        </w:rPr>
        <w:t>Publicly Display</w:t>
      </w:r>
      <w:r>
        <w:t xml:space="preserve">” means </w:t>
      </w:r>
      <w:r w:rsidR="005E1A4E">
        <w:t>providing</w:t>
      </w:r>
      <w:r>
        <w:t xml:space="preserve"> one or more natural persons</w:t>
      </w:r>
      <w:r w:rsidR="005E1A4E">
        <w:t xml:space="preserve"> access to the Information</w:t>
      </w:r>
      <w:r>
        <w:t xml:space="preserve"> without the requirement of registration of </w:t>
      </w:r>
      <w:r w:rsidR="00EB3F3C">
        <w:t>user</w:t>
      </w:r>
      <w:r>
        <w:t xml:space="preserve"> IDs to access and view such Information.</w:t>
      </w:r>
    </w:p>
    <w:p w:rsidR="009E0C62" w:rsidRDefault="009E0C62" w:rsidP="00D561B8">
      <w:pPr>
        <w:pStyle w:val="BodyText"/>
        <w:keepNext/>
        <w:spacing w:after="120"/>
      </w:pPr>
      <w:r>
        <w:t>“</w:t>
      </w:r>
      <w:r w:rsidRPr="009E0C62">
        <w:rPr>
          <w:b/>
          <w:bCs/>
        </w:rPr>
        <w:t>Website</w:t>
      </w:r>
      <w:r>
        <w:t>” means one or more public and unrestricted access internet uniform resource locators (URLs) with a single commercial brand or identity.</w:t>
      </w:r>
    </w:p>
    <w:p w:rsidR="009E0C62" w:rsidRPr="00CF68FD" w:rsidRDefault="003F73E3" w:rsidP="00D561B8">
      <w:pPr>
        <w:pStyle w:val="Heading2"/>
        <w:numPr>
          <w:ilvl w:val="0"/>
          <w:numId w:val="14"/>
        </w:numPr>
        <w:pBdr>
          <w:top w:val="none" w:sz="0" w:space="0" w:color="auto"/>
          <w:bottom w:val="single" w:sz="8" w:space="0" w:color="008D7F"/>
        </w:pBdr>
        <w:ind w:left="567" w:hanging="567"/>
        <w:rPr>
          <w:sz w:val="26"/>
        </w:rPr>
      </w:pPr>
      <w:r>
        <w:rPr>
          <w:sz w:val="26"/>
        </w:rPr>
        <w:t>right of PUblic Display of the Information</w:t>
      </w:r>
    </w:p>
    <w:p w:rsidR="009E0C62" w:rsidRDefault="009E0C62" w:rsidP="00D561B8">
      <w:pPr>
        <w:pStyle w:val="BodyText"/>
        <w:keepNext/>
        <w:numPr>
          <w:ilvl w:val="1"/>
          <w:numId w:val="14"/>
        </w:numPr>
        <w:spacing w:after="120"/>
        <w:ind w:left="567" w:hanging="567"/>
      </w:pPr>
      <w:r>
        <w:t xml:space="preserve">The Issuer </w:t>
      </w:r>
      <w:r w:rsidR="006B5A4D">
        <w:t>is</w:t>
      </w:r>
      <w:r w:rsidR="000C3B97">
        <w:t xml:space="preserve"> entitled to Public</w:t>
      </w:r>
      <w:r w:rsidR="006B5A4D">
        <w:t>ly</w:t>
      </w:r>
      <w:r>
        <w:t xml:space="preserve"> Display </w:t>
      </w:r>
      <w:r w:rsidR="000C3B97">
        <w:t xml:space="preserve">the Relevant Information </w:t>
      </w:r>
      <w:r w:rsidR="00371AA6">
        <w:t xml:space="preserve">Delayed </w:t>
      </w:r>
      <w:r>
        <w:t>on its own company Website without having to obtain a licenc</w:t>
      </w:r>
      <w:r w:rsidR="000C3B97">
        <w:t xml:space="preserve">e for such Public Display </w:t>
      </w:r>
      <w:r w:rsidR="006B5A4D">
        <w:t xml:space="preserve">under the condition that </w:t>
      </w:r>
      <w:r>
        <w:t>it is not intended as basis for trading decisions.</w:t>
      </w:r>
      <w:r w:rsidR="000C3B97">
        <w:t xml:space="preserve"> </w:t>
      </w:r>
      <w:r>
        <w:t xml:space="preserve">As such, </w:t>
      </w:r>
      <w:r w:rsidR="006B5A4D">
        <w:t>the Issuer</w:t>
      </w:r>
      <w:r>
        <w:t xml:space="preserve"> is prohibited to redistribute the </w:t>
      </w:r>
      <w:r w:rsidR="000C3B97">
        <w:t xml:space="preserve">Relevant </w:t>
      </w:r>
      <w:r>
        <w:t>Information through restricted access website</w:t>
      </w:r>
      <w:r w:rsidR="00A45233">
        <w:t>s</w:t>
      </w:r>
      <w:r>
        <w:t xml:space="preserve"> in which trading or order routing decisions can be implemented</w:t>
      </w:r>
      <w:r w:rsidR="00371AA6">
        <w:t xml:space="preserve"> and/or </w:t>
      </w:r>
      <w:r w:rsidR="006B5A4D">
        <w:t xml:space="preserve"> </w:t>
      </w:r>
      <w:r>
        <w:t>through</w:t>
      </w:r>
      <w:r w:rsidR="000C3B97">
        <w:t xml:space="preserve"> w</w:t>
      </w:r>
      <w:r>
        <w:t>ebsite</w:t>
      </w:r>
      <w:r w:rsidR="00A45233">
        <w:t>s</w:t>
      </w:r>
      <w:r>
        <w:t xml:space="preserve"> that allow order entry capabilities.  </w:t>
      </w:r>
    </w:p>
    <w:p w:rsidR="00892711" w:rsidRPr="00892711" w:rsidRDefault="009E0C62" w:rsidP="00D561B8">
      <w:pPr>
        <w:pStyle w:val="ListParagraph"/>
        <w:keepNext/>
        <w:numPr>
          <w:ilvl w:val="1"/>
          <w:numId w:val="14"/>
        </w:numPr>
        <w:ind w:left="567" w:hanging="567"/>
        <w:contextualSpacing w:val="0"/>
      </w:pPr>
      <w:bookmarkStart w:id="7" w:name="_Ref490728790"/>
      <w:r w:rsidRPr="00892711">
        <w:rPr>
          <w:bCs/>
        </w:rPr>
        <w:t xml:space="preserve">The Issuer is </w:t>
      </w:r>
      <w:r w:rsidR="00892711">
        <w:rPr>
          <w:bCs/>
        </w:rPr>
        <w:t>entitled to make the Relevant Information available</w:t>
      </w:r>
      <w:r w:rsidR="00892711" w:rsidRPr="00892711">
        <w:t xml:space="preserve"> </w:t>
      </w:r>
      <w:r w:rsidR="00633D1E">
        <w:t xml:space="preserve">Delayed </w:t>
      </w:r>
      <w:r w:rsidR="00892711">
        <w:t>via its own company Website under the condition that</w:t>
      </w:r>
      <w:r w:rsidR="00892711">
        <w:rPr>
          <w:bCs/>
        </w:rPr>
        <w:t xml:space="preserve">: </w:t>
      </w:r>
    </w:p>
    <w:p w:rsidR="00892711" w:rsidRPr="00892711" w:rsidRDefault="00892711" w:rsidP="00D561B8">
      <w:pPr>
        <w:pStyle w:val="ListParagraph"/>
        <w:keepNext/>
        <w:numPr>
          <w:ilvl w:val="0"/>
          <w:numId w:val="38"/>
        </w:numPr>
        <w:ind w:left="1134" w:hanging="567"/>
        <w:contextualSpacing w:val="0"/>
      </w:pPr>
      <w:r w:rsidRPr="00892711">
        <w:rPr>
          <w:bCs/>
        </w:rPr>
        <w:t xml:space="preserve">such Website is </w:t>
      </w:r>
      <w:bookmarkEnd w:id="7"/>
      <w:r w:rsidR="009E0C62" w:rsidRPr="00892711">
        <w:rPr>
          <w:bCs/>
        </w:rPr>
        <w:t>ow</w:t>
      </w:r>
      <w:r>
        <w:rPr>
          <w:bCs/>
        </w:rPr>
        <w:t>ned and operated by the Issuer; and</w:t>
      </w:r>
    </w:p>
    <w:p w:rsidR="00892711" w:rsidRDefault="009E0C62" w:rsidP="00D561B8">
      <w:pPr>
        <w:pStyle w:val="ListParagraph"/>
        <w:keepNext/>
        <w:numPr>
          <w:ilvl w:val="0"/>
          <w:numId w:val="38"/>
        </w:numPr>
        <w:ind w:left="1134" w:hanging="567"/>
        <w:contextualSpacing w:val="0"/>
      </w:pPr>
      <w:r>
        <w:t xml:space="preserve">viewers of such Information: </w:t>
      </w:r>
    </w:p>
    <w:p w:rsidR="009E0C62" w:rsidRDefault="009E0C62" w:rsidP="00D561B8">
      <w:pPr>
        <w:pStyle w:val="ListParagraph"/>
        <w:keepNext/>
        <w:numPr>
          <w:ilvl w:val="0"/>
          <w:numId w:val="39"/>
        </w:numPr>
        <w:contextualSpacing w:val="0"/>
      </w:pPr>
      <w:r>
        <w:t xml:space="preserve">are not charged any fees for accessing the Information; </w:t>
      </w:r>
      <w:r>
        <w:rPr>
          <w:rStyle w:val="italic"/>
        </w:rPr>
        <w:t>and</w:t>
      </w:r>
      <w:r>
        <w:t xml:space="preserve"> </w:t>
      </w:r>
    </w:p>
    <w:p w:rsidR="00892711" w:rsidRDefault="00892711" w:rsidP="00D561B8">
      <w:pPr>
        <w:pStyle w:val="BodyText"/>
        <w:keepNext/>
        <w:numPr>
          <w:ilvl w:val="0"/>
          <w:numId w:val="39"/>
        </w:numPr>
        <w:spacing w:after="120"/>
      </w:pPr>
      <w:r>
        <w:t xml:space="preserve">are not allowed and enabled to redistribute the Information; </w:t>
      </w:r>
      <w:r>
        <w:rPr>
          <w:rStyle w:val="italic"/>
        </w:rPr>
        <w:t xml:space="preserve">and </w:t>
      </w:r>
    </w:p>
    <w:p w:rsidR="00892711" w:rsidRDefault="00892711" w:rsidP="00D561B8">
      <w:pPr>
        <w:pStyle w:val="BodyText"/>
        <w:keepNext/>
        <w:numPr>
          <w:ilvl w:val="0"/>
          <w:numId w:val="39"/>
        </w:numPr>
        <w:spacing w:after="120"/>
      </w:pPr>
      <w:r>
        <w:t xml:space="preserve">are not asked to register and sign-in via a password/log in; </w:t>
      </w:r>
      <w:r>
        <w:rPr>
          <w:rStyle w:val="italic"/>
        </w:rPr>
        <w:t xml:space="preserve">and </w:t>
      </w:r>
    </w:p>
    <w:p w:rsidR="00892711" w:rsidRDefault="00892711" w:rsidP="00D561B8">
      <w:pPr>
        <w:pStyle w:val="ListParagraph"/>
        <w:keepNext/>
        <w:numPr>
          <w:ilvl w:val="0"/>
          <w:numId w:val="39"/>
        </w:numPr>
        <w:contextualSpacing w:val="0"/>
      </w:pPr>
      <w:r>
        <w:lastRenderedPageBreak/>
        <w:t xml:space="preserve">are not allowed to use </w:t>
      </w:r>
      <w:r w:rsidR="006E6234">
        <w:t xml:space="preserve">the Relevant </w:t>
      </w:r>
      <w:r>
        <w:t>Information on website</w:t>
      </w:r>
      <w:r w:rsidR="00A45233">
        <w:t>s</w:t>
      </w:r>
      <w:r>
        <w:t xml:space="preserve"> on which trading or order routing decisions can be implemented</w:t>
      </w:r>
      <w:r w:rsidR="00075513">
        <w:t xml:space="preserve"> and/or</w:t>
      </w:r>
      <w:r>
        <w:t xml:space="preserve"> on website</w:t>
      </w:r>
      <w:r w:rsidR="00A45233">
        <w:t>s</w:t>
      </w:r>
      <w:r>
        <w:t xml:space="preserve"> with order entry capabilities.</w:t>
      </w:r>
    </w:p>
    <w:p w:rsidR="006702A4" w:rsidRDefault="006702A4" w:rsidP="00D561B8">
      <w:pPr>
        <w:pStyle w:val="BodyText"/>
        <w:keepNext/>
        <w:numPr>
          <w:ilvl w:val="1"/>
          <w:numId w:val="14"/>
        </w:numPr>
        <w:ind w:left="567" w:hanging="567"/>
      </w:pPr>
      <w:r>
        <w:t xml:space="preserve">The Issuer will not knowingly misrepresent in any way the Information. In particular Delayed Information must be represented as such. Additionally the Issuer shall disseminate the Information with a </w:t>
      </w:r>
      <w:r w:rsidR="00A45233">
        <w:t xml:space="preserve"> displayed </w:t>
      </w:r>
      <w:r>
        <w:t>time stamp</w:t>
      </w:r>
      <w:r w:rsidR="00A45233">
        <w:t xml:space="preserve">, which </w:t>
      </w:r>
      <w:r>
        <w:t>shall, where applicable, be a Euronext time stamp.</w:t>
      </w:r>
    </w:p>
    <w:p w:rsidR="00C6123D" w:rsidRDefault="0062054F" w:rsidP="00D561B8">
      <w:pPr>
        <w:pStyle w:val="ListParagraph"/>
        <w:keepNext/>
        <w:numPr>
          <w:ilvl w:val="1"/>
          <w:numId w:val="14"/>
        </w:numPr>
        <w:ind w:left="567" w:hanging="567"/>
        <w:contextualSpacing w:val="0"/>
      </w:pPr>
      <w:bookmarkStart w:id="8" w:name="_Ref503522410"/>
      <w:r>
        <w:t>The Issuer will, where reasonably practicable, attribute Euronext as the source of the Information in a form which is satisfactory to Euronext.</w:t>
      </w:r>
      <w:bookmarkEnd w:id="8"/>
      <w:r>
        <w:t xml:space="preserve"> </w:t>
      </w:r>
    </w:p>
    <w:p w:rsidR="00C6123D" w:rsidRDefault="00C6123D" w:rsidP="00D561B8">
      <w:pPr>
        <w:pStyle w:val="ListParagraph"/>
        <w:keepNext/>
        <w:numPr>
          <w:ilvl w:val="1"/>
          <w:numId w:val="14"/>
        </w:numPr>
        <w:ind w:left="567" w:hanging="567"/>
        <w:contextualSpacing w:val="0"/>
      </w:pPr>
      <w:r>
        <w:t xml:space="preserve">The Issuer’s Affiliates may help fulfil the Issuer’s contractual rights and obligations under these Terms and Conditions and assist the Issuer it its Public Display of the Relevant Information subject to and in accordance with these Terms and Conditions. </w:t>
      </w:r>
    </w:p>
    <w:p w:rsidR="00082393" w:rsidRDefault="009E0C62" w:rsidP="00D561B8">
      <w:pPr>
        <w:pStyle w:val="BodyText"/>
        <w:keepNext/>
        <w:numPr>
          <w:ilvl w:val="1"/>
          <w:numId w:val="14"/>
        </w:numPr>
        <w:ind w:left="567" w:hanging="567"/>
      </w:pPr>
      <w:r>
        <w:t>If the Issuer</w:t>
      </w:r>
      <w:r w:rsidR="00345631">
        <w:t xml:space="preserve"> and/or its Affiliate</w:t>
      </w:r>
      <w:r>
        <w:t xml:space="preserve"> </w:t>
      </w:r>
      <w:r w:rsidR="001E5D06">
        <w:t>receives and Publicly Displays</w:t>
      </w:r>
      <w:r w:rsidR="006702A4">
        <w:t xml:space="preserve"> Information other than the Relevant Information and/or </w:t>
      </w:r>
      <w:r w:rsidR="008F0C83">
        <w:t>the Issuer</w:t>
      </w:r>
      <w:r w:rsidR="006702A4">
        <w:t xml:space="preserve"> </w:t>
      </w:r>
      <w:r w:rsidR="008F0C83">
        <w:t xml:space="preserve">and/or its Affiliate </w:t>
      </w:r>
      <w:r w:rsidR="006702A4">
        <w:t>accesses, uses and/or redistributes</w:t>
      </w:r>
      <w:r>
        <w:t xml:space="preserve"> the</w:t>
      </w:r>
      <w:r w:rsidR="006702A4">
        <w:t xml:space="preserve"> Relevant</w:t>
      </w:r>
      <w:r>
        <w:t xml:space="preserve"> Information beyond the provisions of </w:t>
      </w:r>
      <w:r w:rsidR="006702A4">
        <w:t>these Terms and Conditions</w:t>
      </w:r>
      <w:r>
        <w:t xml:space="preserve">, the Issuer </w:t>
      </w:r>
      <w:r w:rsidR="00A45233">
        <w:t xml:space="preserve">acknowledges and </w:t>
      </w:r>
      <w:r>
        <w:t>agrees that the Euronext Market Data Agreement (</w:t>
      </w:r>
      <w:r w:rsidR="008D5FEA">
        <w:t>“</w:t>
      </w:r>
      <w:r w:rsidRPr="008D5FEA">
        <w:rPr>
          <w:b/>
        </w:rPr>
        <w:t>EMDA</w:t>
      </w:r>
      <w:r w:rsidR="008D5FEA">
        <w:t>”</w:t>
      </w:r>
      <w:r>
        <w:t xml:space="preserve">) governs such access to and use </w:t>
      </w:r>
      <w:r w:rsidR="006702A4">
        <w:t xml:space="preserve">and redistribution </w:t>
      </w:r>
      <w:r>
        <w:t xml:space="preserve">of the Information and </w:t>
      </w:r>
      <w:r w:rsidR="00A45233">
        <w:t xml:space="preserve">that </w:t>
      </w:r>
      <w:r>
        <w:t>Euronext may charge</w:t>
      </w:r>
      <w:r w:rsidR="00082393">
        <w:t xml:space="preserve"> the Issuer the applicable fees</w:t>
      </w:r>
      <w:r>
        <w:t>.</w:t>
      </w:r>
      <w:r w:rsidR="00082393">
        <w:t xml:space="preserve"> The EMDA </w:t>
      </w:r>
      <w:r w:rsidR="00082393" w:rsidRPr="002C1E24">
        <w:t>can be viewed, downloaded and printed in full via the internet at</w:t>
      </w:r>
      <w:r w:rsidR="00082393" w:rsidRPr="00082393">
        <w:rPr>
          <w:b/>
        </w:rPr>
        <w:t xml:space="preserve"> </w:t>
      </w:r>
      <w:hyperlink r:id="rId8" w:history="1">
        <w:r w:rsidR="00082393" w:rsidRPr="00082393">
          <w:rPr>
            <w:rStyle w:val="Hyperlink"/>
            <w:b/>
          </w:rPr>
          <w:t>https://www.euronext.com/en/market-data</w:t>
        </w:r>
      </w:hyperlink>
      <w:r w:rsidR="00082393">
        <w:t xml:space="preserve"> or can be send to you by email upon request.</w:t>
      </w:r>
    </w:p>
    <w:p w:rsidR="00327137" w:rsidRPr="00CF68FD" w:rsidRDefault="00327137" w:rsidP="00D561B8">
      <w:pPr>
        <w:pStyle w:val="Heading2"/>
        <w:numPr>
          <w:ilvl w:val="0"/>
          <w:numId w:val="14"/>
        </w:numPr>
        <w:pBdr>
          <w:top w:val="none" w:sz="0" w:space="0" w:color="auto"/>
          <w:bottom w:val="single" w:sz="8" w:space="0" w:color="008D7F"/>
        </w:pBdr>
        <w:ind w:left="567" w:hanging="567"/>
        <w:rPr>
          <w:sz w:val="26"/>
        </w:rPr>
      </w:pPr>
      <w:r>
        <w:rPr>
          <w:sz w:val="26"/>
        </w:rPr>
        <w:t>Dissemination of the Information</w:t>
      </w:r>
    </w:p>
    <w:p w:rsidR="001A5BBF" w:rsidRDefault="001A5BBF" w:rsidP="00D561B8">
      <w:pPr>
        <w:pStyle w:val="ListParagraph"/>
        <w:keepNext/>
        <w:numPr>
          <w:ilvl w:val="1"/>
          <w:numId w:val="14"/>
        </w:numPr>
        <w:ind w:left="567" w:hanging="567"/>
        <w:contextualSpacing w:val="0"/>
        <w:jc w:val="left"/>
      </w:pPr>
      <w:r>
        <w:t>Euronext will use reasonable efforts , taking into account the current state of information</w:t>
      </w:r>
      <w:r w:rsidR="00741AFA">
        <w:t xml:space="preserve"> technology</w:t>
      </w:r>
      <w:r>
        <w:t xml:space="preserve">, to disseminate of the Information on each </w:t>
      </w:r>
      <w:r w:rsidR="00D42F9F">
        <w:t>t</w:t>
      </w:r>
      <w:r>
        <w:t xml:space="preserve">rading </w:t>
      </w:r>
      <w:r w:rsidR="00D42F9F">
        <w:t>d</w:t>
      </w:r>
      <w:r>
        <w:t xml:space="preserve">ay. </w:t>
      </w:r>
    </w:p>
    <w:p w:rsidR="009E0C62" w:rsidRDefault="009E0C62" w:rsidP="00D561B8">
      <w:pPr>
        <w:pStyle w:val="BodyText"/>
        <w:keepNext/>
        <w:numPr>
          <w:ilvl w:val="1"/>
          <w:numId w:val="14"/>
        </w:numPr>
        <w:ind w:left="567" w:hanging="567"/>
      </w:pPr>
      <w:r>
        <w:t>Information is deemed to have been delivered to the Issuer upon transmission by Euronext or the Euronext Affiliate, as applicable. Where there is no direct physical connection between Euronext or a Euronext Affiliate and an Issuer, Euronext does not warrant that t</w:t>
      </w:r>
      <w:r w:rsidR="00954511">
        <w:t>he Information supplied by the information s</w:t>
      </w:r>
      <w:r>
        <w:t xml:space="preserve">upplier to the Issuer is correctly, completely and timely received by them. </w:t>
      </w:r>
    </w:p>
    <w:p w:rsidR="009E0C62" w:rsidRDefault="009E0C62" w:rsidP="00D561B8">
      <w:pPr>
        <w:pStyle w:val="BodyText"/>
        <w:keepNext/>
        <w:numPr>
          <w:ilvl w:val="1"/>
          <w:numId w:val="14"/>
        </w:numPr>
        <w:ind w:left="567" w:hanging="567"/>
      </w:pPr>
      <w:bookmarkStart w:id="9" w:name="_Ref485644990"/>
      <w:bookmarkStart w:id="10" w:name="_Ref503522484"/>
      <w:bookmarkEnd w:id="9"/>
      <w:r>
        <w:t>Euronext does not warrant that the dissemination of Information will be free of interruption or corruption and Euronext will not be held liable in any way whatsoever for such interruption or corruption. However, where Euronext or a Euronext Affiliate is directly disseminating Information to the Issuer, Euronext will use commercially reasonable efforts:</w:t>
      </w:r>
      <w:bookmarkEnd w:id="10"/>
    </w:p>
    <w:p w:rsidR="009E0C62" w:rsidRDefault="009E0C62" w:rsidP="00D561B8">
      <w:pPr>
        <w:pStyle w:val="BodyText"/>
        <w:keepNext/>
        <w:numPr>
          <w:ilvl w:val="0"/>
          <w:numId w:val="34"/>
        </w:numPr>
        <w:ind w:left="1134" w:hanging="567"/>
      </w:pPr>
      <w:r>
        <w:t xml:space="preserve">to give the </w:t>
      </w:r>
      <w:r w:rsidR="00ED453F">
        <w:t>Issuer</w:t>
      </w:r>
      <w:r>
        <w:t xml:space="preserve"> notice of any such interruption or corruption as soon as reasonably possible;</w:t>
      </w:r>
    </w:p>
    <w:p w:rsidR="009E0C62" w:rsidRDefault="009E0C62" w:rsidP="00D561B8">
      <w:pPr>
        <w:pStyle w:val="BodyText"/>
        <w:keepNext/>
        <w:numPr>
          <w:ilvl w:val="0"/>
          <w:numId w:val="34"/>
        </w:numPr>
        <w:ind w:left="1134" w:hanging="567"/>
      </w:pPr>
      <w:r>
        <w:t xml:space="preserve">where possible, to give an estimate of how long it will take to remedy such interruption or corruption; and </w:t>
      </w:r>
    </w:p>
    <w:p w:rsidR="009E0C62" w:rsidRDefault="009E0C62" w:rsidP="00D561B8">
      <w:pPr>
        <w:pStyle w:val="BodyText"/>
        <w:keepNext/>
        <w:numPr>
          <w:ilvl w:val="0"/>
          <w:numId w:val="34"/>
        </w:numPr>
        <w:ind w:left="1134" w:hanging="567"/>
      </w:pPr>
      <w:r>
        <w:t xml:space="preserve">in any case, to remedy such interruption or corruption as soon as practicably possible after Euronext becomes aware of it. </w:t>
      </w:r>
    </w:p>
    <w:p w:rsidR="009E0C62" w:rsidRDefault="00327137" w:rsidP="00D561B8">
      <w:pPr>
        <w:pStyle w:val="BodyText"/>
        <w:keepNext/>
        <w:numPr>
          <w:ilvl w:val="1"/>
          <w:numId w:val="14"/>
        </w:numPr>
        <w:ind w:left="567" w:hanging="567"/>
      </w:pPr>
      <w:r>
        <w:t xml:space="preserve">Further to clause </w:t>
      </w:r>
      <w:r w:rsidR="00642067">
        <w:fldChar w:fldCharType="begin"/>
      </w:r>
      <w:r w:rsidR="00642067">
        <w:instrText xml:space="preserve"> REF _Ref503522484 \r \h </w:instrText>
      </w:r>
      <w:r w:rsidR="00642067">
        <w:fldChar w:fldCharType="separate"/>
      </w:r>
      <w:r w:rsidR="00BA2190">
        <w:t>3.3</w:t>
      </w:r>
      <w:r w:rsidR="00642067">
        <w:fldChar w:fldCharType="end"/>
      </w:r>
      <w:r w:rsidR="009E0C62">
        <w:t>, Euronext will not provide any (pro rata) refund or discount as a result</w:t>
      </w:r>
      <w:r w:rsidR="00AE1D1A">
        <w:t>.</w:t>
      </w:r>
    </w:p>
    <w:p w:rsidR="00AE1D1A" w:rsidRDefault="00AE1D1A" w:rsidP="00D561B8">
      <w:pPr>
        <w:pStyle w:val="ListParagraph"/>
        <w:keepNext/>
        <w:numPr>
          <w:ilvl w:val="1"/>
          <w:numId w:val="14"/>
        </w:numPr>
        <w:ind w:left="567" w:hanging="567"/>
        <w:contextualSpacing w:val="0"/>
      </w:pPr>
      <w:r>
        <w:t>Euronext reserves the right to change to the way that the Information is composed or disseminated by Euronext and/or a Euronext Affiliate and that results in the Issuer having to make modifications to its equipment (software or hardware) in order to receive and access the information (“</w:t>
      </w:r>
      <w:r w:rsidRPr="00195716">
        <w:rPr>
          <w:b/>
        </w:rPr>
        <w:t>Changes</w:t>
      </w:r>
      <w:r>
        <w:t xml:space="preserve">”). In such cases Euronext shall give the Issuer not less than 90 (ninety) days’ prior written notice of material Changes and not less than 30 (thirty) days’ prior written notice of minor changes. The Issuer shall bear full costs of and responsibility for any adaptation of its own systems that may become necessary because of such Changes. In the event that the Issuer does not, or is unable to, accept the </w:t>
      </w:r>
      <w:r>
        <w:lastRenderedPageBreak/>
        <w:t>Changes, it shall be entitled to terminate these Terms and Conditions by prior written notice to Euronext to take effect from the date such Changes are implemented by Euronext</w:t>
      </w:r>
    </w:p>
    <w:p w:rsidR="001A5BBF" w:rsidRDefault="001A5BBF" w:rsidP="00D561B8">
      <w:pPr>
        <w:pStyle w:val="ListParagraph"/>
        <w:keepNext/>
        <w:numPr>
          <w:ilvl w:val="1"/>
          <w:numId w:val="14"/>
        </w:numPr>
        <w:ind w:left="567" w:hanging="567"/>
        <w:contextualSpacing w:val="0"/>
        <w:jc w:val="left"/>
      </w:pPr>
      <w:bookmarkStart w:id="11" w:name="_Ref490661770"/>
      <w:r>
        <w:t>Euronext reserves the right in its sole discretion:</w:t>
      </w:r>
      <w:bookmarkEnd w:id="11"/>
      <w:r>
        <w:t xml:space="preserve"> </w:t>
      </w:r>
    </w:p>
    <w:p w:rsidR="001A5BBF" w:rsidRDefault="001A5BBF" w:rsidP="00D561B8">
      <w:pPr>
        <w:pStyle w:val="ListParagraph"/>
        <w:keepNext/>
        <w:numPr>
          <w:ilvl w:val="0"/>
          <w:numId w:val="42"/>
        </w:numPr>
        <w:ind w:left="1134" w:hanging="567"/>
        <w:contextualSpacing w:val="0"/>
        <w:jc w:val="left"/>
      </w:pPr>
      <w:r>
        <w:t xml:space="preserve">to introduce Information of any newly traded instruments; </w:t>
      </w:r>
    </w:p>
    <w:p w:rsidR="001A5BBF" w:rsidRDefault="001A5BBF" w:rsidP="00D561B8">
      <w:pPr>
        <w:pStyle w:val="ListParagraph"/>
        <w:keepNext/>
        <w:numPr>
          <w:ilvl w:val="0"/>
          <w:numId w:val="42"/>
        </w:numPr>
        <w:ind w:left="1134" w:hanging="567"/>
        <w:contextualSpacing w:val="0"/>
        <w:jc w:val="left"/>
      </w:pPr>
      <w:r>
        <w:t>to withdraw Information of any traded instruments that cease trading</w:t>
      </w:r>
      <w:r w:rsidR="00EA4506">
        <w:t>.</w:t>
      </w:r>
    </w:p>
    <w:p w:rsidR="00327137" w:rsidRPr="00CF68FD" w:rsidRDefault="00DB7AB8" w:rsidP="00D561B8">
      <w:pPr>
        <w:pStyle w:val="Heading2"/>
        <w:numPr>
          <w:ilvl w:val="0"/>
          <w:numId w:val="14"/>
        </w:numPr>
        <w:pBdr>
          <w:top w:val="none" w:sz="0" w:space="0" w:color="auto"/>
          <w:bottom w:val="single" w:sz="8" w:space="0" w:color="008D7F"/>
        </w:pBdr>
        <w:ind w:left="567" w:hanging="567"/>
        <w:contextualSpacing w:val="0"/>
        <w:rPr>
          <w:sz w:val="26"/>
        </w:rPr>
      </w:pPr>
      <w:r>
        <w:rPr>
          <w:sz w:val="26"/>
        </w:rPr>
        <w:t>Protection of the Information</w:t>
      </w:r>
    </w:p>
    <w:p w:rsidR="00EC35A3" w:rsidRDefault="009E0C62" w:rsidP="00D561B8">
      <w:pPr>
        <w:pStyle w:val="BodyText"/>
        <w:keepNext/>
        <w:numPr>
          <w:ilvl w:val="1"/>
          <w:numId w:val="14"/>
        </w:numPr>
        <w:ind w:left="567" w:hanging="567"/>
      </w:pPr>
      <w:r>
        <w:t>The Issuer will install suitable, up to date control and security systems in order to prevent any unlawful use of the Information or use in violation of the provisions of th</w:t>
      </w:r>
      <w:r w:rsidR="00A45233">
        <w:t xml:space="preserve">ese Terms and Conditions </w:t>
      </w:r>
      <w:r>
        <w:t>.</w:t>
      </w:r>
    </w:p>
    <w:p w:rsidR="00327137" w:rsidRDefault="00327137" w:rsidP="00D561B8">
      <w:pPr>
        <w:pStyle w:val="BodyText"/>
        <w:keepNext/>
        <w:numPr>
          <w:ilvl w:val="1"/>
          <w:numId w:val="14"/>
        </w:numPr>
        <w:ind w:left="567" w:hanging="567"/>
      </w:pPr>
      <w:bookmarkStart w:id="12" w:name="_Ref503522438"/>
      <w:r>
        <w:t>Where the Issuer engages in the Public Display of Information on a Website, it will include a prominent disclaimer on the Website on which it Publicly Displays Information, which should either be:</w:t>
      </w:r>
      <w:bookmarkEnd w:id="12"/>
      <w:r>
        <w:t xml:space="preserve"> </w:t>
      </w:r>
    </w:p>
    <w:p w:rsidR="00327137" w:rsidRDefault="00327137" w:rsidP="00D561B8">
      <w:pPr>
        <w:pStyle w:val="BodyText"/>
        <w:keepNext/>
        <w:numPr>
          <w:ilvl w:val="0"/>
          <w:numId w:val="35"/>
        </w:numPr>
        <w:ind w:left="1134" w:hanging="567"/>
      </w:pPr>
      <w:r>
        <w:rPr>
          <w:i/>
          <w:iCs/>
        </w:rPr>
        <w:t>“© &lt;Insert applicable year&gt; Euronext N.V. All Rights Reserved. The information, data, analysis and Information contained herein (i) include the proprietary information of Euronext and its content providers, (ii) may not be copied or further disseminated except as specifically authorized</w:t>
      </w:r>
      <w:r w:rsidR="003723BA">
        <w:rPr>
          <w:i/>
          <w:iCs/>
        </w:rPr>
        <w:t xml:space="preserve"> by Euronext</w:t>
      </w:r>
      <w:r>
        <w:rPr>
          <w:i/>
          <w:iCs/>
        </w:rPr>
        <w:t>, (iii) do not constitute investment advice, (iv) are provided solely for informational purposes and (v) are not warranted to be complete, accurate or timely.”</w:t>
      </w:r>
      <w:r>
        <w:t xml:space="preserve">; or </w:t>
      </w:r>
    </w:p>
    <w:p w:rsidR="00327137" w:rsidRDefault="00327137" w:rsidP="00D561B8">
      <w:pPr>
        <w:pStyle w:val="BodyText"/>
        <w:keepNext/>
        <w:numPr>
          <w:ilvl w:val="0"/>
          <w:numId w:val="35"/>
        </w:numPr>
        <w:ind w:left="1134" w:hanging="567"/>
      </w:pPr>
      <w:r>
        <w:t xml:space="preserve">a disclaimer that includes the </w:t>
      </w:r>
      <w:r w:rsidR="00A45233">
        <w:t xml:space="preserve">relevant </w:t>
      </w:r>
      <w:r>
        <w:t>elements of the disclaimer above in a manner that is deemed acceptable by Euronext.</w:t>
      </w:r>
    </w:p>
    <w:p w:rsidR="001A5BBF" w:rsidRDefault="001A5BBF" w:rsidP="00D561B8">
      <w:pPr>
        <w:pStyle w:val="BodyText"/>
        <w:keepNext/>
        <w:numPr>
          <w:ilvl w:val="1"/>
          <w:numId w:val="14"/>
        </w:numPr>
        <w:ind w:left="567" w:hanging="567"/>
      </w:pPr>
      <w:bookmarkStart w:id="13" w:name="_Ref484385381"/>
      <w:r w:rsidRPr="00BD67E0">
        <w:t xml:space="preserve">The </w:t>
      </w:r>
      <w:r>
        <w:t xml:space="preserve">Issuer </w:t>
      </w:r>
      <w:r w:rsidRPr="00BD67E0">
        <w:t xml:space="preserve">shall notify Euronext promptly in writing when </w:t>
      </w:r>
      <w:r>
        <w:t xml:space="preserve">it is aware that a viewer of the Information redistributed the Information. </w:t>
      </w:r>
      <w:bookmarkEnd w:id="13"/>
    </w:p>
    <w:p w:rsidR="00986DC3" w:rsidRPr="00CF68FD" w:rsidRDefault="00986DC3" w:rsidP="00387516">
      <w:pPr>
        <w:pStyle w:val="Heading2"/>
        <w:numPr>
          <w:ilvl w:val="0"/>
          <w:numId w:val="14"/>
        </w:numPr>
        <w:pBdr>
          <w:top w:val="none" w:sz="0" w:space="0" w:color="auto"/>
          <w:bottom w:val="single" w:sz="8" w:space="0" w:color="008D7F"/>
        </w:pBdr>
        <w:ind w:left="709" w:hanging="709"/>
        <w:contextualSpacing w:val="0"/>
        <w:rPr>
          <w:sz w:val="26"/>
        </w:rPr>
      </w:pPr>
      <w:bookmarkStart w:id="14" w:name="_Ref503527403"/>
      <w:r>
        <w:rPr>
          <w:sz w:val="26"/>
        </w:rPr>
        <w:t>Intellectual Property rights</w:t>
      </w:r>
      <w:bookmarkEnd w:id="14"/>
    </w:p>
    <w:p w:rsidR="00EC35A3" w:rsidRDefault="00192F72" w:rsidP="00387516">
      <w:pPr>
        <w:pStyle w:val="BodyText"/>
        <w:keepNext/>
        <w:numPr>
          <w:ilvl w:val="1"/>
          <w:numId w:val="14"/>
        </w:numPr>
        <w:ind w:left="709" w:hanging="709"/>
      </w:pPr>
      <w:bookmarkStart w:id="15" w:name="_Ref464646726"/>
      <w:r>
        <w:t>The intellectual property r</w:t>
      </w:r>
      <w:r w:rsidR="009E0C62">
        <w:t>ights of whatsoever nature in the Information shall be and remain vested in Euronext or its licensors.</w:t>
      </w:r>
      <w:bookmarkEnd w:id="15"/>
      <w:r w:rsidR="009E0C62">
        <w:t xml:space="preserve"> Th</w:t>
      </w:r>
      <w:r w:rsidR="00A45233">
        <w:t xml:space="preserve">ese Terms and Conditions </w:t>
      </w:r>
      <w:r w:rsidR="009E0C62">
        <w:t>do n</w:t>
      </w:r>
      <w:r>
        <w:t>ot involve the transfer of any intellectual property r</w:t>
      </w:r>
      <w:r w:rsidR="009E0C62">
        <w:t>ights.</w:t>
      </w:r>
    </w:p>
    <w:p w:rsidR="00920C8E" w:rsidRDefault="00920C8E">
      <w:pPr>
        <w:pStyle w:val="BodyText"/>
        <w:keepNext/>
        <w:numPr>
          <w:ilvl w:val="1"/>
          <w:numId w:val="14"/>
        </w:numPr>
        <w:ind w:left="720" w:hanging="720"/>
      </w:pPr>
      <w:bookmarkStart w:id="16" w:name="_Ref484294089"/>
      <w:r w:rsidRPr="006A2CFF">
        <w:t xml:space="preserve">If the </w:t>
      </w:r>
      <w:r>
        <w:t xml:space="preserve">Issuer </w:t>
      </w:r>
      <w:r w:rsidRPr="006A2CFF">
        <w:t>wish</w:t>
      </w:r>
      <w:r>
        <w:t>es</w:t>
      </w:r>
      <w:r w:rsidRPr="006A2CFF">
        <w:t xml:space="preserve"> to make use of the trademarks of Euronext, a separate license agreement needs to be concluded.</w:t>
      </w:r>
      <w:r>
        <w:t xml:space="preserve"> </w:t>
      </w:r>
      <w:r w:rsidRPr="006A2CFF">
        <w:t xml:space="preserve">The </w:t>
      </w:r>
      <w:r>
        <w:t xml:space="preserve">Issuer </w:t>
      </w:r>
      <w:r w:rsidRPr="006A2CFF">
        <w:t xml:space="preserve">shall not use or register any trade mark which is identical or similar to any trade mark of Euronext or its </w:t>
      </w:r>
      <w:r>
        <w:t>affiliates</w:t>
      </w:r>
      <w:r w:rsidRPr="006A2CFF">
        <w:t>, whether registered or unregistered.</w:t>
      </w:r>
      <w:bookmarkEnd w:id="16"/>
    </w:p>
    <w:p w:rsidR="00920C8E" w:rsidRDefault="00920C8E" w:rsidP="00387516">
      <w:pPr>
        <w:pStyle w:val="ListParagraph"/>
        <w:keepNext/>
        <w:numPr>
          <w:ilvl w:val="1"/>
          <w:numId w:val="14"/>
        </w:numPr>
        <w:ind w:left="709" w:hanging="709"/>
        <w:contextualSpacing w:val="0"/>
        <w:jc w:val="left"/>
      </w:pPr>
      <w:r>
        <w:t>N</w:t>
      </w:r>
      <w:r w:rsidRPr="00456FAB">
        <w:t>otwithstanding the provisions of clause</w:t>
      </w:r>
      <w:r>
        <w:t xml:space="preserve"> </w:t>
      </w:r>
      <w:r w:rsidR="00642067">
        <w:fldChar w:fldCharType="begin"/>
      </w:r>
      <w:r w:rsidR="00642067">
        <w:instrText xml:space="preserve"> REF _Ref484294089 \r \h </w:instrText>
      </w:r>
      <w:r w:rsidR="00642067">
        <w:fldChar w:fldCharType="separate"/>
      </w:r>
      <w:r w:rsidR="00BA2190">
        <w:t>5.2</w:t>
      </w:r>
      <w:r w:rsidR="00642067">
        <w:fldChar w:fldCharType="end"/>
      </w:r>
      <w:r w:rsidRPr="00456FAB">
        <w:t xml:space="preserve">, </w:t>
      </w:r>
      <w:r>
        <w:t xml:space="preserve">the Issuers </w:t>
      </w:r>
      <w:r w:rsidRPr="00456FAB">
        <w:t>use of Euronext’s name in connection with attribu</w:t>
      </w:r>
      <w:r>
        <w:t xml:space="preserve">tion as covered under clause </w:t>
      </w:r>
      <w:r w:rsidR="00411BBD">
        <w:fldChar w:fldCharType="begin"/>
      </w:r>
      <w:r w:rsidR="00411BBD">
        <w:instrText xml:space="preserve"> REF _Ref503522410 \r \h </w:instrText>
      </w:r>
      <w:r w:rsidR="00411BBD">
        <w:fldChar w:fldCharType="separate"/>
      </w:r>
      <w:r w:rsidR="00BA2190">
        <w:t>2.4</w:t>
      </w:r>
      <w:r w:rsidR="00411BBD">
        <w:fldChar w:fldCharType="end"/>
      </w:r>
      <w:r w:rsidR="00411BBD">
        <w:t xml:space="preserve"> and/or </w:t>
      </w:r>
      <w:r w:rsidR="00411BBD">
        <w:fldChar w:fldCharType="begin"/>
      </w:r>
      <w:r w:rsidR="00411BBD">
        <w:instrText xml:space="preserve"> REF _Ref503522438 \r \h </w:instrText>
      </w:r>
      <w:r w:rsidR="00411BBD">
        <w:fldChar w:fldCharType="separate"/>
      </w:r>
      <w:r w:rsidR="00BA2190">
        <w:t>4.2</w:t>
      </w:r>
      <w:r w:rsidR="00411BBD">
        <w:fldChar w:fldCharType="end"/>
      </w:r>
      <w:r w:rsidR="00411BBD">
        <w:t xml:space="preserve"> </w:t>
      </w:r>
      <w:r w:rsidRPr="00456FAB">
        <w:t xml:space="preserve">shall not require </w:t>
      </w:r>
      <w:r>
        <w:t xml:space="preserve">the Issuer to </w:t>
      </w:r>
      <w:r w:rsidRPr="00456FAB">
        <w:t>sign a separate license agreement with Euronext.</w:t>
      </w:r>
      <w:r>
        <w:t xml:space="preserve"> </w:t>
      </w:r>
    </w:p>
    <w:p w:rsidR="00470BB7" w:rsidRPr="000A3EED" w:rsidRDefault="00470BB7" w:rsidP="00387516">
      <w:pPr>
        <w:pStyle w:val="Heading2"/>
        <w:numPr>
          <w:ilvl w:val="0"/>
          <w:numId w:val="14"/>
        </w:numPr>
        <w:pBdr>
          <w:top w:val="none" w:sz="0" w:space="0" w:color="auto"/>
          <w:bottom w:val="single" w:sz="4" w:space="1" w:color="008D7F"/>
        </w:pBdr>
        <w:ind w:left="720" w:hanging="720"/>
        <w:contextualSpacing w:val="0"/>
        <w:rPr>
          <w:sz w:val="26"/>
        </w:rPr>
      </w:pPr>
      <w:bookmarkStart w:id="17" w:name="_Toc483524668"/>
      <w:bookmarkStart w:id="18" w:name="_Toc487540189"/>
      <w:bookmarkStart w:id="19" w:name="_Toc491009121"/>
      <w:bookmarkStart w:id="20" w:name="_Ref503527423"/>
      <w:r>
        <w:rPr>
          <w:sz w:val="26"/>
        </w:rPr>
        <w:t>L</w:t>
      </w:r>
      <w:r w:rsidRPr="000A3EED">
        <w:rPr>
          <w:sz w:val="26"/>
        </w:rPr>
        <w:t>iability</w:t>
      </w:r>
      <w:bookmarkEnd w:id="17"/>
      <w:bookmarkEnd w:id="18"/>
      <w:bookmarkEnd w:id="19"/>
      <w:bookmarkEnd w:id="20"/>
    </w:p>
    <w:p w:rsidR="00A126D5" w:rsidRDefault="00A126D5">
      <w:pPr>
        <w:pStyle w:val="BodyText"/>
        <w:keepNext/>
        <w:numPr>
          <w:ilvl w:val="1"/>
          <w:numId w:val="14"/>
        </w:numPr>
        <w:tabs>
          <w:tab w:val="left" w:pos="720"/>
        </w:tabs>
        <w:spacing w:after="120"/>
        <w:ind w:left="720" w:hanging="720"/>
      </w:pPr>
      <w:r w:rsidRPr="006A2CFF">
        <w:t xml:space="preserve">Except as expressly provided for in </w:t>
      </w:r>
      <w:r w:rsidR="00915F4F">
        <w:t>these Terms and Conditions</w:t>
      </w:r>
      <w:r w:rsidRPr="006A2CFF">
        <w:t xml:space="preserve">, all warranties and representations expressed or implied are hereby excluded and Euronext shall be under no liability to the </w:t>
      </w:r>
      <w:r>
        <w:t xml:space="preserve">Issuer </w:t>
      </w:r>
      <w:r w:rsidRPr="006A2CFF">
        <w:t>for any loss, damage, cost, claim or expense howsoever arising whether or not caused by the negligence of Euronext, its officers, employees, agents or representatives, save that Euronext will accept liability for death, personal injury, fraud, gross negligence or wilful misconduct.</w:t>
      </w:r>
      <w:r>
        <w:t xml:space="preserve"> </w:t>
      </w:r>
    </w:p>
    <w:p w:rsidR="00A126D5" w:rsidRPr="006A2CFF" w:rsidRDefault="00A126D5" w:rsidP="00387516">
      <w:pPr>
        <w:pStyle w:val="ListParagraph"/>
        <w:keepNext/>
        <w:numPr>
          <w:ilvl w:val="1"/>
          <w:numId w:val="14"/>
        </w:numPr>
        <w:tabs>
          <w:tab w:val="left" w:pos="720"/>
        </w:tabs>
        <w:ind w:left="720" w:hanging="720"/>
        <w:contextualSpacing w:val="0"/>
        <w:jc w:val="left"/>
      </w:pPr>
      <w:r w:rsidRPr="006A2CFF">
        <w:lastRenderedPageBreak/>
        <w:t>Euronext shall not be liable for any losses, damages, costs, claims and expenses howsoever arising:</w:t>
      </w:r>
    </w:p>
    <w:p w:rsidR="00A126D5" w:rsidRDefault="00A126D5">
      <w:pPr>
        <w:pStyle w:val="BodyText"/>
        <w:keepNext/>
        <w:numPr>
          <w:ilvl w:val="0"/>
          <w:numId w:val="43"/>
        </w:numPr>
        <w:tabs>
          <w:tab w:val="left" w:pos="1276"/>
        </w:tabs>
        <w:ind w:left="1276" w:hanging="567"/>
      </w:pPr>
      <w:r w:rsidRPr="006A2CFF">
        <w:t xml:space="preserve">from mechanical or electrical or telephone breakdown or power failure or malfunction of </w:t>
      </w:r>
      <w:r>
        <w:br/>
      </w:r>
      <w:r w:rsidRPr="006A2CFF">
        <w:t xml:space="preserve">any computer and/or data transmission or receiving apparatus and/or auxiliary equipment </w:t>
      </w:r>
      <w:r>
        <w:br/>
      </w:r>
      <w:r w:rsidRPr="006A2CFF">
        <w:t>or any other cause beyond the reasonable control of Euronext; and</w:t>
      </w:r>
    </w:p>
    <w:p w:rsidR="00A126D5" w:rsidRPr="00010A80" w:rsidRDefault="00A126D5" w:rsidP="00387516">
      <w:pPr>
        <w:pStyle w:val="ListParagraph"/>
        <w:keepNext/>
        <w:numPr>
          <w:ilvl w:val="0"/>
          <w:numId w:val="43"/>
        </w:numPr>
        <w:tabs>
          <w:tab w:val="left" w:pos="1276"/>
        </w:tabs>
        <w:ind w:left="1276" w:hanging="567"/>
        <w:contextualSpacing w:val="0"/>
        <w:jc w:val="left"/>
      </w:pPr>
      <w:r w:rsidRPr="006A2CFF">
        <w:t xml:space="preserve">from any error or omission in the collecting, recording, processing, storing, making available for </w:t>
      </w:r>
      <w:r w:rsidRPr="00010A80">
        <w:t>supply or supplying of the Information unless caused by the gross negligence or wilful misconduct of Euronext.</w:t>
      </w:r>
    </w:p>
    <w:p w:rsidR="00A126D5" w:rsidRDefault="006D1D04" w:rsidP="00387516">
      <w:pPr>
        <w:pStyle w:val="ListParagraph"/>
        <w:keepNext/>
        <w:numPr>
          <w:ilvl w:val="1"/>
          <w:numId w:val="14"/>
        </w:numPr>
        <w:tabs>
          <w:tab w:val="left" w:pos="720"/>
        </w:tabs>
        <w:ind w:left="720" w:hanging="720"/>
        <w:contextualSpacing w:val="0"/>
        <w:jc w:val="left"/>
      </w:pPr>
      <w:r>
        <w:t xml:space="preserve"> </w:t>
      </w:r>
      <w:r w:rsidR="00A126D5">
        <w:t>Euronext</w:t>
      </w:r>
      <w:r>
        <w:t xml:space="preserve"> and the Issuer</w:t>
      </w:r>
      <w:r w:rsidR="00A126D5">
        <w:t xml:space="preserve"> </w:t>
      </w:r>
      <w:r w:rsidR="00A126D5" w:rsidRPr="006A2CFF">
        <w:t xml:space="preserve">will </w:t>
      </w:r>
      <w:r w:rsidR="00A126D5">
        <w:t xml:space="preserve">not </w:t>
      </w:r>
      <w:r w:rsidR="00A126D5" w:rsidRPr="006A2CFF">
        <w:t xml:space="preserve">be liable to the </w:t>
      </w:r>
      <w:r>
        <w:t>other</w:t>
      </w:r>
      <w:r w:rsidR="00A126D5">
        <w:t xml:space="preserve"> </w:t>
      </w:r>
      <w:r w:rsidR="00A126D5" w:rsidRPr="006A2CFF">
        <w:t>for any indirect, special or consequential loss or damage</w:t>
      </w:r>
      <w:r w:rsidR="00A126D5">
        <w:t xml:space="preserve"> arising out of </w:t>
      </w:r>
      <w:r w:rsidR="00915F4F">
        <w:t>these Terms and Conditions</w:t>
      </w:r>
      <w:r w:rsidR="00A126D5">
        <w:t>.</w:t>
      </w:r>
    </w:p>
    <w:p w:rsidR="00A126D5" w:rsidRPr="006A2CFF" w:rsidRDefault="00A126D5" w:rsidP="00387516">
      <w:pPr>
        <w:pStyle w:val="ListParagraph"/>
        <w:keepNext/>
        <w:numPr>
          <w:ilvl w:val="1"/>
          <w:numId w:val="14"/>
        </w:numPr>
        <w:tabs>
          <w:tab w:val="left" w:pos="720"/>
        </w:tabs>
        <w:ind w:left="720" w:hanging="720"/>
        <w:contextualSpacing w:val="0"/>
        <w:jc w:val="left"/>
      </w:pPr>
      <w:r>
        <w:t xml:space="preserve">Euronext </w:t>
      </w:r>
      <w:r w:rsidR="006D1D04">
        <w:t xml:space="preserve">and the Issuer </w:t>
      </w:r>
      <w:r>
        <w:t xml:space="preserve">will not be liable to the </w:t>
      </w:r>
      <w:r w:rsidR="006D1D04">
        <w:t>other</w:t>
      </w:r>
      <w:r w:rsidR="002021C8">
        <w:t xml:space="preserve"> </w:t>
      </w:r>
      <w:r>
        <w:t>for any</w:t>
      </w:r>
      <w:r w:rsidRPr="006A2CFF">
        <w:t xml:space="preserve"> loss of profit, business revenue or goodwill or loss of data arising out</w:t>
      </w:r>
      <w:r>
        <w:t xml:space="preserve"> </w:t>
      </w:r>
      <w:r w:rsidRPr="006A2CFF">
        <w:t xml:space="preserve">of </w:t>
      </w:r>
      <w:r w:rsidR="00915F4F">
        <w:t>these Terms and Conditions</w:t>
      </w:r>
      <w:r w:rsidRPr="006A2CFF">
        <w:t>.</w:t>
      </w:r>
    </w:p>
    <w:p w:rsidR="00A126D5" w:rsidRDefault="00A126D5">
      <w:pPr>
        <w:pStyle w:val="BodyText"/>
        <w:keepNext/>
        <w:numPr>
          <w:ilvl w:val="1"/>
          <w:numId w:val="14"/>
        </w:numPr>
        <w:tabs>
          <w:tab w:val="left" w:pos="720"/>
        </w:tabs>
        <w:spacing w:after="120"/>
        <w:ind w:left="720" w:hanging="720"/>
      </w:pPr>
      <w:bookmarkStart w:id="21" w:name="_Ref464737250"/>
      <w:r>
        <w:t xml:space="preserve">Euronext </w:t>
      </w:r>
      <w:r w:rsidR="006D1D04">
        <w:t xml:space="preserve">and the Issuer </w:t>
      </w:r>
      <w:r w:rsidRPr="006A2CFF">
        <w:t xml:space="preserve">shall </w:t>
      </w:r>
      <w:r>
        <w:t xml:space="preserve">not </w:t>
      </w:r>
      <w:r w:rsidRPr="006A2CFF">
        <w:t>be held liable or be deemed to be in default under the</w:t>
      </w:r>
      <w:r w:rsidR="009F0EAE">
        <w:t>se Terms and Conditions</w:t>
      </w:r>
      <w:r w:rsidRPr="006A2CFF">
        <w:t xml:space="preserve"> for any failure to perform its obligations hereunder, arising directly or indirectly from events or circumstances beyond its reasonable control (including without limitation governmental orders or restrictions, war, war-like conditions, hostilities, civil insurrection, sanctions, mobilisations, blockade, embargo, detention, revolution, riot, looting, strikes or lock-outs to which the </w:t>
      </w:r>
      <w:r w:rsidR="006D1D04">
        <w:rPr>
          <w:lang w:val="en-US"/>
        </w:rPr>
        <w:t>p</w:t>
      </w:r>
      <w:r w:rsidRPr="006A2CFF">
        <w:t xml:space="preserve">arty claiming benefit of the force majeure event is not a </w:t>
      </w:r>
      <w:r>
        <w:rPr>
          <w:lang w:val="en-US"/>
        </w:rPr>
        <w:t>p</w:t>
      </w:r>
      <w:r w:rsidRPr="006A2CFF">
        <w:t xml:space="preserve">arty, plagues or other epidemics, fire, flood, thunderbolts and other </w:t>
      </w:r>
      <w:r>
        <w:rPr>
          <w:lang w:val="en-US"/>
        </w:rPr>
        <w:t>acts</w:t>
      </w:r>
      <w:r w:rsidRPr="006A2CFF">
        <w:t xml:space="preserve"> of God).</w:t>
      </w:r>
      <w:bookmarkEnd w:id="21"/>
    </w:p>
    <w:p w:rsidR="00DB7AB8" w:rsidRPr="00CF68FD" w:rsidRDefault="00DB7AB8" w:rsidP="00387516">
      <w:pPr>
        <w:pStyle w:val="Heading2"/>
        <w:numPr>
          <w:ilvl w:val="0"/>
          <w:numId w:val="14"/>
        </w:numPr>
        <w:pBdr>
          <w:top w:val="none" w:sz="0" w:space="0" w:color="auto"/>
          <w:bottom w:val="single" w:sz="8" w:space="0" w:color="008D7F"/>
        </w:pBdr>
        <w:ind w:left="567" w:hanging="567"/>
        <w:contextualSpacing w:val="0"/>
        <w:rPr>
          <w:sz w:val="26"/>
        </w:rPr>
      </w:pPr>
      <w:bookmarkStart w:id="22" w:name="_Ref485667495"/>
      <w:bookmarkStart w:id="23" w:name="_Ref503527434"/>
      <w:bookmarkEnd w:id="22"/>
      <w:r>
        <w:rPr>
          <w:sz w:val="26"/>
        </w:rPr>
        <w:t>Audit Rights</w:t>
      </w:r>
      <w:bookmarkEnd w:id="23"/>
    </w:p>
    <w:p w:rsidR="00EB207B" w:rsidRDefault="00DB7AB8">
      <w:pPr>
        <w:pStyle w:val="BodyText"/>
        <w:keepNext/>
        <w:numPr>
          <w:ilvl w:val="1"/>
          <w:numId w:val="14"/>
        </w:numPr>
        <w:ind w:left="567" w:hanging="567"/>
      </w:pPr>
      <w:r>
        <w:t xml:space="preserve">Euronext is entitled to audit at its expense the Issuer to verify the Issuers compliance with the contractual obligations arising out of </w:t>
      </w:r>
      <w:r w:rsidR="00EB207B">
        <w:t>these Terms and Conditions</w:t>
      </w:r>
      <w:r>
        <w:t>. Euronext may exercise these audit rights upon 30 days’ prior written notice, during normal business hours. Both the Issuer and Euronext shall promptly cooperate to</w:t>
      </w:r>
      <w:r w:rsidR="00EB207B">
        <w:t xml:space="preserve"> plan, prepare and conduct the a</w:t>
      </w:r>
      <w:r>
        <w:t xml:space="preserve">udit in an efficient manner. </w:t>
      </w:r>
    </w:p>
    <w:p w:rsidR="00CC4C84" w:rsidRDefault="009E0C62">
      <w:pPr>
        <w:pStyle w:val="BodyText"/>
        <w:keepNext/>
        <w:numPr>
          <w:ilvl w:val="1"/>
          <w:numId w:val="14"/>
        </w:numPr>
        <w:ind w:left="567" w:hanging="567"/>
      </w:pPr>
      <w:r>
        <w:t xml:space="preserve">The Issuer shall be required to keep adequate records with respect to its Public Display of </w:t>
      </w:r>
      <w:r w:rsidR="00292EB0">
        <w:t xml:space="preserve">the Relevant </w:t>
      </w:r>
      <w:r>
        <w:t xml:space="preserve">Information. The Issuer undertakes to keep all relevant records for a period of 5 (five) calendar years. </w:t>
      </w:r>
      <w:bookmarkStart w:id="24" w:name="_Ref490680675"/>
      <w:r>
        <w:t>The Issuer will permit employees and/or contractors of Euronext and/or third parties instructed by Euronext to have access to and inspect the Issuer’s agreements, premises, books, records and computer systems for the purpose of verifying</w:t>
      </w:r>
      <w:r w:rsidR="00292EB0">
        <w:t xml:space="preserve"> </w:t>
      </w:r>
      <w:r>
        <w:t>the Issuers’ compliance with the terms and cond</w:t>
      </w:r>
      <w:r w:rsidR="00292EB0">
        <w:t>itions arising out of the Terms and Conditions</w:t>
      </w:r>
      <w:r>
        <w:t xml:space="preserve">. </w:t>
      </w:r>
      <w:bookmarkEnd w:id="24"/>
    </w:p>
    <w:p w:rsidR="00CC4C84" w:rsidRDefault="009E0C62">
      <w:pPr>
        <w:pStyle w:val="BodyText"/>
        <w:keepNext/>
        <w:numPr>
          <w:ilvl w:val="1"/>
          <w:numId w:val="14"/>
        </w:numPr>
        <w:ind w:left="567" w:hanging="567"/>
      </w:pPr>
      <w:r>
        <w:t>In case of material deviations, Euronext is entitled to make the further supply of</w:t>
      </w:r>
      <w:r w:rsidR="00CC4C84">
        <w:t xml:space="preserve"> the Relevant</w:t>
      </w:r>
      <w:r>
        <w:t xml:space="preserve"> Information to the Issuer depend on the conclusion of the audit. </w:t>
      </w:r>
    </w:p>
    <w:p w:rsidR="009E0C62" w:rsidRDefault="009E0C62">
      <w:pPr>
        <w:pStyle w:val="BodyText"/>
        <w:keepNext/>
        <w:numPr>
          <w:ilvl w:val="1"/>
          <w:numId w:val="14"/>
        </w:numPr>
        <w:ind w:left="567" w:hanging="567"/>
      </w:pPr>
      <w:r>
        <w:t>If an audit reveals that there has been an underpayment of fees in respect of the period covered by the audit, then the Issuer shall immediately pay such underpayment of Fees to Euronext. If the underpayment of fees is more than 10% (ten percent), then (i) an administrative fee of 10% (ten percent) of the underpaid fees, (ii) an interest equal to 1%  (one percent) per calendar month or any part thereof calculated from the date that the underpaid Fees were due and (iii) the reasonable cost of such audit (including travel and accommodation costs), shall immediately be paid by the Issuer .</w:t>
      </w:r>
    </w:p>
    <w:p w:rsidR="009F70DD" w:rsidRPr="009F70DD" w:rsidRDefault="009F70DD" w:rsidP="009F70DD"/>
    <w:p w:rsidR="00ED453F" w:rsidRPr="00CF68FD" w:rsidRDefault="00ED453F">
      <w:pPr>
        <w:pStyle w:val="Heading2"/>
        <w:numPr>
          <w:ilvl w:val="0"/>
          <w:numId w:val="14"/>
        </w:numPr>
        <w:pBdr>
          <w:top w:val="none" w:sz="0" w:space="0" w:color="auto"/>
          <w:bottom w:val="single" w:sz="8" w:space="0" w:color="008D7F"/>
        </w:pBdr>
        <w:ind w:left="567" w:hanging="567"/>
        <w:rPr>
          <w:sz w:val="26"/>
        </w:rPr>
      </w:pPr>
      <w:r>
        <w:rPr>
          <w:sz w:val="26"/>
        </w:rPr>
        <w:lastRenderedPageBreak/>
        <w:t>Notices</w:t>
      </w:r>
    </w:p>
    <w:p w:rsidR="00ED453F" w:rsidRDefault="00C13E19">
      <w:pPr>
        <w:pStyle w:val="BodyText"/>
        <w:keepNext/>
        <w:numPr>
          <w:ilvl w:val="1"/>
          <w:numId w:val="14"/>
        </w:numPr>
        <w:ind w:left="567" w:hanging="567"/>
      </w:pPr>
      <w:bookmarkStart w:id="25" w:name="_Ref485667853"/>
      <w:r>
        <w:t>The Issuer will send all</w:t>
      </w:r>
      <w:r w:rsidR="00ED453F" w:rsidRPr="006A2CFF">
        <w:t xml:space="preserve"> notices relating t</w:t>
      </w:r>
      <w:r w:rsidR="00ED453F">
        <w:t xml:space="preserve">o </w:t>
      </w:r>
      <w:r w:rsidR="00F61C12">
        <w:t>the Terms and Conditions</w:t>
      </w:r>
      <w:r w:rsidR="00ED453F">
        <w:t xml:space="preserve"> in written or electronic form, including by</w:t>
      </w:r>
      <w:r w:rsidR="00ED453F" w:rsidRPr="006A2CFF">
        <w:t xml:space="preserve"> registered post or email, fax or delivered in person to</w:t>
      </w:r>
      <w:r w:rsidR="00ED453F">
        <w:t xml:space="preserve"> the addresses</w:t>
      </w:r>
      <w:r>
        <w:t xml:space="preserve"> following address</w:t>
      </w:r>
      <w:bookmarkEnd w:id="25"/>
      <w:r w:rsidR="00411240">
        <w:t xml:space="preserve"> (</w:t>
      </w:r>
      <w:r w:rsidR="00411240" w:rsidRPr="006A2CFF">
        <w:t xml:space="preserve">or to such other addresses as may be notified by </w:t>
      </w:r>
      <w:r w:rsidR="00411240">
        <w:t>Euronext to the Issuer)</w:t>
      </w:r>
      <w:r>
        <w:t xml:space="preserve">: </w:t>
      </w:r>
    </w:p>
    <w:tbl>
      <w:tblPr>
        <w:tblStyle w:val="TableGrid"/>
        <w:tblW w:w="878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091"/>
      </w:tblGrid>
      <w:tr w:rsid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imes New Roman"/>
                <w:color w:val="000000"/>
                <w:lang w:eastAsia="en-GB"/>
              </w:rPr>
              <w:t>Company Name:</w:t>
            </w:r>
          </w:p>
        </w:tc>
        <w:tc>
          <w:tcPr>
            <w:tcW w:w="6091" w:type="dxa"/>
            <w:vAlign w:val="center"/>
          </w:tcPr>
          <w:p w:rsidR="004153A6" w:rsidRPr="004153A6" w:rsidRDefault="004153A6">
            <w:pPr>
              <w:pStyle w:val="TableBodyLarge"/>
              <w:keepNext/>
              <w:rPr>
                <w:i/>
              </w:rPr>
            </w:pPr>
            <w:r w:rsidRPr="004153A6">
              <w:rPr>
                <w:i/>
              </w:rPr>
              <w:t>Euronext</w:t>
            </w:r>
          </w:p>
        </w:tc>
      </w:tr>
      <w:tr w:rsid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FAO:</w:t>
            </w:r>
          </w:p>
        </w:tc>
        <w:tc>
          <w:tcPr>
            <w:tcW w:w="6091" w:type="dxa"/>
            <w:vAlign w:val="center"/>
          </w:tcPr>
          <w:p w:rsidR="004153A6" w:rsidRPr="004153A6" w:rsidRDefault="004153A6">
            <w:pPr>
              <w:pStyle w:val="TableBodyLarge"/>
              <w:keepNext/>
              <w:rPr>
                <w:rFonts w:eastAsia="Times New Roman" w:cs="Times New Roman"/>
                <w:i/>
                <w:color w:val="000000"/>
                <w:lang w:eastAsia="en-GB"/>
              </w:rPr>
            </w:pPr>
            <w:r w:rsidRPr="004153A6">
              <w:rPr>
                <w:i/>
              </w:rPr>
              <w:t>Information Services</w:t>
            </w:r>
          </w:p>
        </w:tc>
      </w:tr>
      <w:tr w:rsid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Address:</w:t>
            </w:r>
          </w:p>
        </w:tc>
        <w:tc>
          <w:tcPr>
            <w:tcW w:w="6091" w:type="dxa"/>
            <w:vAlign w:val="center"/>
          </w:tcPr>
          <w:p w:rsidR="004153A6" w:rsidRPr="004153A6" w:rsidRDefault="004153A6">
            <w:pPr>
              <w:pStyle w:val="TableBodyLarge"/>
              <w:keepNext/>
              <w:rPr>
                <w:rFonts w:eastAsia="Times New Roman" w:cs="Times New Roman"/>
                <w:i/>
                <w:color w:val="000000"/>
                <w:lang w:eastAsia="en-GB"/>
              </w:rPr>
            </w:pPr>
            <w:r w:rsidRPr="004153A6">
              <w:rPr>
                <w:rFonts w:eastAsia="Times New Roman" w:cs="Times New Roman"/>
                <w:i/>
                <w:color w:val="000000"/>
                <w:lang w:eastAsia="en-GB"/>
              </w:rPr>
              <w:t>Beursplein 5</w:t>
            </w:r>
          </w:p>
        </w:tc>
      </w:tr>
      <w:tr w:rsid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ZIP Code &amp; City:</w:t>
            </w:r>
          </w:p>
        </w:tc>
        <w:tc>
          <w:tcPr>
            <w:tcW w:w="6091" w:type="dxa"/>
            <w:vAlign w:val="center"/>
          </w:tcPr>
          <w:p w:rsidR="004153A6" w:rsidRPr="004153A6" w:rsidRDefault="004153A6">
            <w:pPr>
              <w:pStyle w:val="TableBodyLarge"/>
              <w:keepNext/>
              <w:rPr>
                <w:rFonts w:eastAsia="Times New Roman" w:cs="Times New Roman"/>
                <w:i/>
                <w:color w:val="000000"/>
                <w:lang w:eastAsia="en-GB"/>
              </w:rPr>
            </w:pPr>
            <w:r w:rsidRPr="004153A6">
              <w:rPr>
                <w:rFonts w:eastAsia="Times New Roman" w:cs="Times New Roman"/>
                <w:i/>
                <w:color w:val="000000"/>
                <w:lang w:eastAsia="en-GB"/>
              </w:rPr>
              <w:t>1012 JW Amsterdam</w:t>
            </w:r>
          </w:p>
        </w:tc>
      </w:tr>
      <w:tr w:rsidR="004153A6" w:rsidTr="004153A6">
        <w:tc>
          <w:tcPr>
            <w:tcW w:w="2693" w:type="dxa"/>
            <w:vAlign w:val="center"/>
          </w:tcPr>
          <w:p w:rsidR="004153A6" w:rsidRPr="004153A6" w:rsidRDefault="004153A6">
            <w:pPr>
              <w:keepNext/>
              <w:spacing w:after="0" w:line="240" w:lineRule="auto"/>
              <w:jc w:val="left"/>
              <w:rPr>
                <w:rFonts w:eastAsia="Times New Roman" w:cstheme="minorHAnsi"/>
                <w:color w:val="000000"/>
                <w:lang w:val="en-US" w:eastAsia="en-GB"/>
              </w:rPr>
            </w:pPr>
            <w:r>
              <w:rPr>
                <w:rFonts w:eastAsia="Times New Roman" w:cstheme="minorHAnsi"/>
                <w:color w:val="000000"/>
                <w:lang w:val="en-US" w:eastAsia="en-GB"/>
              </w:rPr>
              <w:t>Country</w:t>
            </w:r>
            <w:r w:rsidRPr="004153A6">
              <w:rPr>
                <w:rFonts w:eastAsia="Times New Roman" w:cstheme="minorHAnsi"/>
                <w:color w:val="000000"/>
                <w:lang w:val="en-US" w:eastAsia="en-GB"/>
              </w:rPr>
              <w:t>:</w:t>
            </w:r>
          </w:p>
        </w:tc>
        <w:tc>
          <w:tcPr>
            <w:tcW w:w="6091" w:type="dxa"/>
            <w:vAlign w:val="center"/>
          </w:tcPr>
          <w:p w:rsidR="004153A6" w:rsidRPr="004153A6" w:rsidRDefault="004153A6">
            <w:pPr>
              <w:pStyle w:val="TableBodyLarge"/>
              <w:keepNext/>
              <w:rPr>
                <w:rFonts w:eastAsia="Times New Roman" w:cs="Times New Roman"/>
                <w:i/>
                <w:color w:val="000000"/>
                <w:lang w:eastAsia="en-GB"/>
              </w:rPr>
            </w:pPr>
            <w:r w:rsidRPr="004153A6">
              <w:rPr>
                <w:rFonts w:eastAsia="Times New Roman" w:cs="Times New Roman"/>
                <w:i/>
                <w:color w:val="000000"/>
                <w:lang w:eastAsia="en-GB"/>
              </w:rPr>
              <w:t>The Netherlands</w:t>
            </w:r>
          </w:p>
        </w:tc>
      </w:tr>
      <w:tr w:rsid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sidRPr="004153A6">
              <w:rPr>
                <w:rFonts w:eastAsia="Times New Roman" w:cs="Times New Roman"/>
                <w:color w:val="000000"/>
                <w:lang w:eastAsia="en-GB"/>
              </w:rPr>
              <w:t>E-</w:t>
            </w:r>
            <w:r>
              <w:rPr>
                <w:rFonts w:eastAsia="Times New Roman" w:cs="Times New Roman"/>
                <w:color w:val="000000"/>
                <w:lang w:eastAsia="en-GB"/>
              </w:rPr>
              <w:t>mail Address</w:t>
            </w:r>
            <w:r w:rsidRPr="004153A6">
              <w:rPr>
                <w:rFonts w:eastAsia="Times New Roman" w:cs="Times New Roman"/>
                <w:color w:val="000000"/>
                <w:lang w:eastAsia="en-GB"/>
              </w:rPr>
              <w:t>:</w:t>
            </w:r>
          </w:p>
        </w:tc>
        <w:tc>
          <w:tcPr>
            <w:tcW w:w="6091" w:type="dxa"/>
            <w:vAlign w:val="center"/>
          </w:tcPr>
          <w:p w:rsidR="004153A6" w:rsidRPr="004153A6" w:rsidRDefault="00C43420">
            <w:pPr>
              <w:pStyle w:val="TableBodyLarge"/>
              <w:keepNext/>
              <w:rPr>
                <w:rFonts w:eastAsia="Times New Roman" w:cs="Times New Roman"/>
                <w:i/>
                <w:color w:val="000000"/>
                <w:lang w:eastAsia="en-GB"/>
              </w:rPr>
            </w:pPr>
            <w:hyperlink r:id="rId9" w:history="1">
              <w:r w:rsidR="004153A6" w:rsidRPr="004153A6">
                <w:rPr>
                  <w:rStyle w:val="Hyperlink"/>
                  <w:rFonts w:eastAsia="Times New Roman"/>
                  <w:i/>
                  <w:noProof/>
                  <w:lang w:eastAsia="en-GB"/>
                </w:rPr>
                <w:t>databyeuronext@euronext.com</w:t>
              </w:r>
            </w:hyperlink>
            <w:r w:rsidR="004153A6" w:rsidRPr="004153A6">
              <w:rPr>
                <w:rFonts w:eastAsia="Times New Roman"/>
                <w:i/>
                <w:noProof/>
                <w:color w:val="000000"/>
                <w:lang w:eastAsia="en-GB"/>
              </w:rPr>
              <w:t xml:space="preserve"> </w:t>
            </w:r>
          </w:p>
        </w:tc>
      </w:tr>
    </w:tbl>
    <w:p w:rsidR="00F64517" w:rsidRDefault="00954511">
      <w:pPr>
        <w:pStyle w:val="BodyText"/>
        <w:keepNext/>
        <w:numPr>
          <w:ilvl w:val="1"/>
          <w:numId w:val="14"/>
        </w:numPr>
        <w:spacing w:after="120"/>
        <w:ind w:left="567" w:hanging="567"/>
      </w:pPr>
      <w:r>
        <w:t>Euronext will sent all notices relating to the Terms and Conditions in written or electronic form, including by</w:t>
      </w:r>
      <w:r w:rsidRPr="006A2CFF">
        <w:t xml:space="preserve"> registered post or email, fax or delivered in person to</w:t>
      </w:r>
      <w:r>
        <w:t xml:space="preserve"> the following address</w:t>
      </w:r>
      <w:r w:rsidR="00FF4088">
        <w:t xml:space="preserve"> (</w:t>
      </w:r>
      <w:r w:rsidR="00FF4088" w:rsidRPr="006A2CFF">
        <w:t xml:space="preserve">or to such other addresses as may be notified by </w:t>
      </w:r>
      <w:r w:rsidR="00B53D11">
        <w:t>the</w:t>
      </w:r>
      <w:r w:rsidR="00FF4088">
        <w:t xml:space="preserve"> Issuer</w:t>
      </w:r>
      <w:r w:rsidR="00FF4088" w:rsidRPr="006A2CFF">
        <w:t xml:space="preserve"> to </w:t>
      </w:r>
      <w:r w:rsidR="00B53D11">
        <w:t>Euronext</w:t>
      </w:r>
      <w:r w:rsidR="00FF4088">
        <w:t>):</w:t>
      </w:r>
    </w:p>
    <w:tbl>
      <w:tblPr>
        <w:tblStyle w:val="TableGrid"/>
        <w:tblW w:w="878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091"/>
      </w:tblGrid>
      <w:tr w:rsidR="004153A6" w:rsidRP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imes New Roman"/>
                <w:color w:val="000000"/>
                <w:lang w:eastAsia="en-GB"/>
              </w:rPr>
              <w:t>Company Name:</w:t>
            </w:r>
          </w:p>
        </w:tc>
        <w:tc>
          <w:tcPr>
            <w:tcW w:w="6091" w:type="dxa"/>
            <w:tcBorders>
              <w:bottom w:val="single" w:sz="4" w:space="0" w:color="auto"/>
            </w:tcBorders>
            <w:vAlign w:val="center"/>
          </w:tcPr>
          <w:p w:rsidR="004153A6" w:rsidRPr="004153A6" w:rsidRDefault="009574B8">
            <w:pPr>
              <w:pStyle w:val="TableBodyLarge"/>
              <w:keepNext/>
              <w:rPr>
                <w:i/>
              </w:rPr>
            </w:pPr>
            <w:r>
              <w:rPr>
                <w:i/>
              </w:rPr>
              <w:fldChar w:fldCharType="begin">
                <w:ffData>
                  <w:name w:val="Text23"/>
                  <w:enabled/>
                  <w:calcOnExit w:val="0"/>
                  <w:textInput/>
                </w:ffData>
              </w:fldChar>
            </w:r>
            <w:bookmarkStart w:id="26" w:name="Text2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6"/>
          </w:p>
        </w:tc>
      </w:tr>
      <w:tr w:rsidR="004153A6" w:rsidRP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FAO:</w:t>
            </w:r>
          </w:p>
        </w:tc>
        <w:tc>
          <w:tcPr>
            <w:tcW w:w="6091" w:type="dxa"/>
            <w:tcBorders>
              <w:top w:val="single" w:sz="4" w:space="0" w:color="auto"/>
              <w:bottom w:val="single" w:sz="4" w:space="0" w:color="auto"/>
            </w:tcBorders>
            <w:vAlign w:val="center"/>
          </w:tcPr>
          <w:p w:rsidR="004153A6"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bookmarkStart w:id="27" w:name="Text24"/>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bookmarkEnd w:id="27"/>
          </w:p>
        </w:tc>
      </w:tr>
      <w:tr w:rsidR="004153A6" w:rsidRP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Address:</w:t>
            </w:r>
          </w:p>
        </w:tc>
        <w:tc>
          <w:tcPr>
            <w:tcW w:w="6091" w:type="dxa"/>
            <w:tcBorders>
              <w:top w:val="single" w:sz="4" w:space="0" w:color="auto"/>
              <w:bottom w:val="single" w:sz="4" w:space="0" w:color="auto"/>
            </w:tcBorders>
            <w:vAlign w:val="center"/>
          </w:tcPr>
          <w:p w:rsidR="004153A6"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p>
        </w:tc>
      </w:tr>
      <w:tr w:rsidR="004153A6" w:rsidRP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ZIP Code &amp; City:</w:t>
            </w:r>
          </w:p>
        </w:tc>
        <w:tc>
          <w:tcPr>
            <w:tcW w:w="6091" w:type="dxa"/>
            <w:tcBorders>
              <w:top w:val="single" w:sz="4" w:space="0" w:color="auto"/>
              <w:bottom w:val="single" w:sz="4" w:space="0" w:color="auto"/>
            </w:tcBorders>
            <w:vAlign w:val="center"/>
          </w:tcPr>
          <w:p w:rsidR="004153A6"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p>
        </w:tc>
      </w:tr>
      <w:tr w:rsidR="004153A6" w:rsidRPr="004153A6" w:rsidTr="004153A6">
        <w:tc>
          <w:tcPr>
            <w:tcW w:w="2693" w:type="dxa"/>
            <w:vAlign w:val="center"/>
          </w:tcPr>
          <w:p w:rsidR="004153A6" w:rsidRPr="004153A6" w:rsidRDefault="004153A6">
            <w:pPr>
              <w:keepNext/>
              <w:spacing w:after="0" w:line="240" w:lineRule="auto"/>
              <w:jc w:val="left"/>
              <w:rPr>
                <w:rFonts w:eastAsia="Times New Roman" w:cstheme="minorHAnsi"/>
                <w:color w:val="000000"/>
                <w:lang w:val="en-US" w:eastAsia="en-GB"/>
              </w:rPr>
            </w:pPr>
            <w:r>
              <w:rPr>
                <w:rFonts w:eastAsia="Times New Roman" w:cstheme="minorHAnsi"/>
                <w:color w:val="000000"/>
                <w:lang w:val="en-US" w:eastAsia="en-GB"/>
              </w:rPr>
              <w:t>Country</w:t>
            </w:r>
            <w:r w:rsidRPr="004153A6">
              <w:rPr>
                <w:rFonts w:eastAsia="Times New Roman" w:cstheme="minorHAnsi"/>
                <w:color w:val="000000"/>
                <w:lang w:val="en-US" w:eastAsia="en-GB"/>
              </w:rPr>
              <w:t>:</w:t>
            </w:r>
          </w:p>
        </w:tc>
        <w:tc>
          <w:tcPr>
            <w:tcW w:w="6091" w:type="dxa"/>
            <w:tcBorders>
              <w:top w:val="single" w:sz="4" w:space="0" w:color="auto"/>
              <w:bottom w:val="single" w:sz="4" w:space="0" w:color="auto"/>
            </w:tcBorders>
            <w:vAlign w:val="center"/>
          </w:tcPr>
          <w:p w:rsidR="004153A6"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p>
        </w:tc>
      </w:tr>
      <w:tr w:rsidR="00CA2A7C" w:rsidRPr="004153A6" w:rsidTr="004153A6">
        <w:tc>
          <w:tcPr>
            <w:tcW w:w="2693" w:type="dxa"/>
            <w:vAlign w:val="center"/>
          </w:tcPr>
          <w:p w:rsidR="00CA2A7C" w:rsidRDefault="00CA2A7C">
            <w:pPr>
              <w:keepNext/>
              <w:spacing w:after="0" w:line="240" w:lineRule="auto"/>
              <w:jc w:val="left"/>
              <w:rPr>
                <w:rFonts w:eastAsia="Times New Roman" w:cstheme="minorHAnsi"/>
                <w:color w:val="000000"/>
                <w:lang w:val="en-US" w:eastAsia="en-GB"/>
              </w:rPr>
            </w:pPr>
            <w:r>
              <w:rPr>
                <w:rFonts w:eastAsia="Times New Roman" w:cstheme="minorHAnsi"/>
                <w:color w:val="000000"/>
                <w:lang w:val="en-US" w:eastAsia="en-GB"/>
              </w:rPr>
              <w:t xml:space="preserve">Telephone: </w:t>
            </w:r>
          </w:p>
        </w:tc>
        <w:tc>
          <w:tcPr>
            <w:tcW w:w="6091" w:type="dxa"/>
            <w:tcBorders>
              <w:top w:val="single" w:sz="4" w:space="0" w:color="auto"/>
              <w:bottom w:val="single" w:sz="4" w:space="0" w:color="auto"/>
            </w:tcBorders>
            <w:vAlign w:val="center"/>
          </w:tcPr>
          <w:p w:rsidR="00CA2A7C"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p>
        </w:tc>
      </w:tr>
      <w:tr w:rsidR="004153A6" w:rsidRP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sidRPr="004153A6">
              <w:rPr>
                <w:rFonts w:eastAsia="Times New Roman" w:cs="Times New Roman"/>
                <w:color w:val="000000"/>
                <w:lang w:eastAsia="en-GB"/>
              </w:rPr>
              <w:t>E-</w:t>
            </w:r>
            <w:r>
              <w:rPr>
                <w:rFonts w:eastAsia="Times New Roman" w:cs="Times New Roman"/>
                <w:color w:val="000000"/>
                <w:lang w:eastAsia="en-GB"/>
              </w:rPr>
              <w:t>mail Address</w:t>
            </w:r>
            <w:r w:rsidRPr="004153A6">
              <w:rPr>
                <w:rFonts w:eastAsia="Times New Roman" w:cs="Times New Roman"/>
                <w:color w:val="000000"/>
                <w:lang w:eastAsia="en-GB"/>
              </w:rPr>
              <w:t>:</w:t>
            </w:r>
          </w:p>
        </w:tc>
        <w:tc>
          <w:tcPr>
            <w:tcW w:w="6091" w:type="dxa"/>
            <w:tcBorders>
              <w:top w:val="single" w:sz="4" w:space="0" w:color="auto"/>
              <w:bottom w:val="single" w:sz="4" w:space="0" w:color="auto"/>
            </w:tcBorders>
            <w:vAlign w:val="center"/>
          </w:tcPr>
          <w:p w:rsidR="004153A6"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p>
        </w:tc>
      </w:tr>
    </w:tbl>
    <w:p w:rsidR="00ED453F" w:rsidRDefault="001D77B3">
      <w:pPr>
        <w:pStyle w:val="ListParagraph"/>
        <w:keepNext/>
        <w:numPr>
          <w:ilvl w:val="1"/>
          <w:numId w:val="14"/>
        </w:numPr>
        <w:ind w:left="567" w:hanging="567"/>
        <w:contextualSpacing w:val="0"/>
        <w:jc w:val="left"/>
      </w:pPr>
      <w:r>
        <w:t>I</w:t>
      </w:r>
      <w:r w:rsidR="00ED453F">
        <w:t>t is the</w:t>
      </w:r>
      <w:r w:rsidR="00A1549F">
        <w:t xml:space="preserve"> Issuer</w:t>
      </w:r>
      <w:r w:rsidR="00ED453F">
        <w:t>’s responsibility to ensure that it</w:t>
      </w:r>
      <w:r w:rsidR="00A1549F">
        <w:t xml:space="preserve">s contact details in these Terms and Conditions </w:t>
      </w:r>
      <w:r w:rsidR="00ED453F">
        <w:t xml:space="preserve">are accurate and up to date. </w:t>
      </w:r>
    </w:p>
    <w:p w:rsidR="00EF0C2E" w:rsidRDefault="00C13E19" w:rsidP="00387516">
      <w:pPr>
        <w:pStyle w:val="ListParagraph"/>
        <w:keepNext/>
        <w:numPr>
          <w:ilvl w:val="1"/>
          <w:numId w:val="14"/>
        </w:numPr>
        <w:spacing w:after="200" w:line="276" w:lineRule="auto"/>
        <w:ind w:left="567" w:hanging="567"/>
        <w:contextualSpacing w:val="0"/>
        <w:jc w:val="left"/>
      </w:pPr>
      <w:r w:rsidRPr="006A2CFF">
        <w:t>Notices will be deemed to be received on proof of delivery</w:t>
      </w:r>
      <w:r>
        <w:t xml:space="preserve"> </w:t>
      </w:r>
      <w:r w:rsidRPr="006A2CFF">
        <w:t>or 4</w:t>
      </w:r>
      <w:r w:rsidRPr="002E4BF7">
        <w:rPr>
          <w:lang w:val="en-US"/>
        </w:rPr>
        <w:t xml:space="preserve"> (four)</w:t>
      </w:r>
      <w:r w:rsidRPr="006A2CFF">
        <w:t xml:space="preserve"> days after being sent.</w:t>
      </w:r>
    </w:p>
    <w:p w:rsidR="005675E5" w:rsidRPr="000A3EED" w:rsidRDefault="005675E5">
      <w:pPr>
        <w:pStyle w:val="Heading2"/>
        <w:numPr>
          <w:ilvl w:val="0"/>
          <w:numId w:val="14"/>
        </w:numPr>
        <w:pBdr>
          <w:top w:val="none" w:sz="0" w:space="0" w:color="auto"/>
          <w:bottom w:val="single" w:sz="4" w:space="1" w:color="008D7F"/>
        </w:pBdr>
        <w:ind w:left="567" w:hanging="567"/>
        <w:rPr>
          <w:sz w:val="26"/>
        </w:rPr>
      </w:pPr>
      <w:r>
        <w:rPr>
          <w:sz w:val="26"/>
        </w:rPr>
        <w:t>data protection</w:t>
      </w:r>
    </w:p>
    <w:p w:rsidR="00771BF7" w:rsidRPr="00144C5B" w:rsidRDefault="00771BF7" w:rsidP="00771BF7">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Terms in this arti</w:t>
      </w:r>
      <w:r w:rsidR="006C23BD">
        <w:rPr>
          <w:spacing w:val="-1"/>
        </w:rPr>
        <w:t xml:space="preserve">cle that are not defined in these Terms and Conditions </w:t>
      </w:r>
      <w:r w:rsidRPr="00144C5B">
        <w:rPr>
          <w:spacing w:val="-1"/>
        </w:rPr>
        <w:t>shall have the meaning stated in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057F21">
        <w:rPr>
          <w:b/>
          <w:spacing w:val="-1"/>
        </w:rPr>
        <w:t>GDPR</w:t>
      </w:r>
      <w:r w:rsidRPr="00144C5B">
        <w:rPr>
          <w:spacing w:val="-1"/>
        </w:rPr>
        <w:t>”).</w:t>
      </w:r>
    </w:p>
    <w:p w:rsidR="00771BF7" w:rsidRPr="00144C5B" w:rsidRDefault="00771BF7" w:rsidP="00771BF7">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In the framework of th</w:t>
      </w:r>
      <w:r w:rsidR="009F5212">
        <w:rPr>
          <w:spacing w:val="-1"/>
        </w:rPr>
        <w:t>ese Terms and Conditions</w:t>
      </w:r>
      <w:r w:rsidRPr="00144C5B">
        <w:rPr>
          <w:spacing w:val="-1"/>
        </w:rPr>
        <w:t xml:space="preserve"> Euronext processes, as a Controller, Personal Data provided to it by the </w:t>
      </w:r>
      <w:r w:rsidR="006C23BD">
        <w:rPr>
          <w:spacing w:val="-1"/>
        </w:rPr>
        <w:t>Issuer and its Affiliates</w:t>
      </w:r>
      <w:r w:rsidRPr="00144C5B">
        <w:rPr>
          <w:spacing w:val="-1"/>
        </w:rPr>
        <w:t>.</w:t>
      </w:r>
    </w:p>
    <w:p w:rsidR="00771BF7" w:rsidRPr="00144C5B" w:rsidRDefault="00771BF7">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 xml:space="preserve">In order to inform the concerned Data Subjects about the Processing of their Personal Data, the </w:t>
      </w:r>
      <w:r w:rsidR="006C23BD">
        <w:rPr>
          <w:spacing w:val="-1"/>
        </w:rPr>
        <w:t>Issuer</w:t>
      </w:r>
      <w:r>
        <w:rPr>
          <w:spacing w:val="-1"/>
        </w:rPr>
        <w:t xml:space="preserve"> </w:t>
      </w:r>
      <w:r w:rsidRPr="00144C5B">
        <w:rPr>
          <w:spacing w:val="-1"/>
        </w:rPr>
        <w:t>shall explicitly refer the Data Subjec</w:t>
      </w:r>
      <w:r>
        <w:rPr>
          <w:spacing w:val="-1"/>
        </w:rPr>
        <w:t xml:space="preserve">ts to the privacy statement of the Euronext Group </w:t>
      </w:r>
      <w:r w:rsidRPr="00144C5B">
        <w:rPr>
          <w:spacing w:val="-1"/>
        </w:rPr>
        <w:t xml:space="preserve">on the website of Euronext accessible at: </w:t>
      </w:r>
      <w:hyperlink r:id="rId10" w:history="1">
        <w:r w:rsidRPr="001A36AC">
          <w:rPr>
            <w:rStyle w:val="Hyperlink"/>
            <w:b/>
            <w:spacing w:val="-1"/>
          </w:rPr>
          <w:t>https://www.euronext.com/en/privacy-policy</w:t>
        </w:r>
      </w:hyperlink>
      <w:r w:rsidRPr="00144C5B">
        <w:rPr>
          <w:spacing w:val="-1"/>
        </w:rPr>
        <w:t>.</w:t>
      </w:r>
    </w:p>
    <w:p w:rsidR="00771BF7" w:rsidRPr="00F135C9" w:rsidRDefault="00771BF7">
      <w:pPr>
        <w:pStyle w:val="BodyText"/>
        <w:keepNext/>
        <w:widowControl w:val="0"/>
        <w:numPr>
          <w:ilvl w:val="1"/>
          <w:numId w:val="14"/>
        </w:numPr>
        <w:tabs>
          <w:tab w:val="left" w:pos="709"/>
        </w:tabs>
        <w:spacing w:before="56" w:after="0" w:line="240" w:lineRule="auto"/>
        <w:ind w:left="709" w:right="181" w:hanging="709"/>
        <w:rPr>
          <w:spacing w:val="-1"/>
        </w:rPr>
      </w:pPr>
      <w:bookmarkStart w:id="28" w:name="_bookmark38"/>
      <w:bookmarkEnd w:id="28"/>
      <w:r w:rsidRPr="00F135C9">
        <w:rPr>
          <w:spacing w:val="-1"/>
        </w:rPr>
        <w:t xml:space="preserve">By </w:t>
      </w:r>
      <w:r>
        <w:rPr>
          <w:spacing w:val="-1"/>
        </w:rPr>
        <w:t xml:space="preserve">executing </w:t>
      </w:r>
      <w:r w:rsidRPr="00F135C9">
        <w:rPr>
          <w:spacing w:val="-1"/>
        </w:rPr>
        <w:t xml:space="preserve">and </w:t>
      </w:r>
      <w:r>
        <w:rPr>
          <w:spacing w:val="-1"/>
        </w:rPr>
        <w:t>sending the</w:t>
      </w:r>
      <w:r w:rsidRPr="00F135C9">
        <w:rPr>
          <w:spacing w:val="-1"/>
        </w:rPr>
        <w:t xml:space="preserve"> </w:t>
      </w:r>
      <w:r>
        <w:rPr>
          <w:spacing w:val="-1"/>
        </w:rPr>
        <w:t>signed</w:t>
      </w:r>
      <w:r w:rsidRPr="00F135C9">
        <w:rPr>
          <w:spacing w:val="-1"/>
        </w:rPr>
        <w:t xml:space="preserve"> </w:t>
      </w:r>
      <w:r w:rsidR="009F5212">
        <w:rPr>
          <w:spacing w:val="-1"/>
        </w:rPr>
        <w:t>Terms and Conditions</w:t>
      </w:r>
      <w:r>
        <w:rPr>
          <w:spacing w:val="-1"/>
        </w:rPr>
        <w:t xml:space="preserve">, </w:t>
      </w:r>
      <w:r w:rsidRPr="00F135C9">
        <w:rPr>
          <w:spacing w:val="-1"/>
        </w:rPr>
        <w:t>the</w:t>
      </w:r>
      <w:r>
        <w:rPr>
          <w:spacing w:val="-1"/>
        </w:rPr>
        <w:t xml:space="preserve"> </w:t>
      </w:r>
      <w:r w:rsidR="006C23BD">
        <w:rPr>
          <w:spacing w:val="-1"/>
        </w:rPr>
        <w:t>Issuer</w:t>
      </w:r>
      <w:r w:rsidRPr="00F135C9">
        <w:rPr>
          <w:spacing w:val="-1"/>
        </w:rPr>
        <w:t xml:space="preserve"> </w:t>
      </w:r>
      <w:r>
        <w:rPr>
          <w:spacing w:val="-1"/>
        </w:rPr>
        <w:t>confirms</w:t>
      </w:r>
      <w:r w:rsidRPr="00F135C9">
        <w:rPr>
          <w:spacing w:val="-1"/>
        </w:rPr>
        <w:t xml:space="preserve"> </w:t>
      </w:r>
      <w:r>
        <w:rPr>
          <w:spacing w:val="-1"/>
        </w:rPr>
        <w:t>that</w:t>
      </w:r>
      <w:r w:rsidRPr="00F135C9">
        <w:rPr>
          <w:spacing w:val="-1"/>
        </w:rPr>
        <w:t xml:space="preserve"> it </w:t>
      </w:r>
      <w:r w:rsidR="009F5212">
        <w:rPr>
          <w:spacing w:val="-1"/>
        </w:rPr>
        <w:t>has</w:t>
      </w:r>
      <w:r w:rsidRPr="00F135C9">
        <w:rPr>
          <w:spacing w:val="-1"/>
        </w:rPr>
        <w:t xml:space="preserve"> </w:t>
      </w:r>
      <w:r>
        <w:rPr>
          <w:spacing w:val="-1"/>
        </w:rPr>
        <w:t>referred</w:t>
      </w:r>
      <w:r w:rsidRPr="00F135C9">
        <w:rPr>
          <w:spacing w:val="-1"/>
        </w:rPr>
        <w:t xml:space="preserve"> the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Pr>
          <w:spacing w:val="-1"/>
        </w:rPr>
        <w:t xml:space="preserve"> the Euronext Group</w:t>
      </w:r>
      <w:r w:rsidRPr="00144C5B">
        <w:rPr>
          <w:spacing w:val="-1"/>
        </w:rPr>
        <w:t>.</w:t>
      </w:r>
    </w:p>
    <w:p w:rsidR="005D0D4A" w:rsidRPr="00903F15" w:rsidRDefault="00771BF7" w:rsidP="00903F15">
      <w:pPr>
        <w:pStyle w:val="BodyText"/>
        <w:keepNext/>
        <w:widowControl w:val="0"/>
        <w:numPr>
          <w:ilvl w:val="1"/>
          <w:numId w:val="14"/>
        </w:numPr>
        <w:tabs>
          <w:tab w:val="left" w:pos="709"/>
        </w:tabs>
        <w:spacing w:before="120" w:after="0" w:line="240" w:lineRule="auto"/>
        <w:ind w:left="709" w:right="195" w:hanging="709"/>
        <w:rPr>
          <w:spacing w:val="-1"/>
        </w:rPr>
      </w:pPr>
      <w:r w:rsidRPr="009F5212">
        <w:rPr>
          <w:spacing w:val="-1"/>
        </w:rPr>
        <w:t>The</w:t>
      </w:r>
      <w:r w:rsidRPr="009F5212">
        <w:rPr>
          <w:spacing w:val="1"/>
        </w:rPr>
        <w:t xml:space="preserve"> </w:t>
      </w:r>
      <w:r w:rsidR="006C23BD" w:rsidRPr="009F5212">
        <w:rPr>
          <w:spacing w:val="-1"/>
        </w:rPr>
        <w:t>Issuer</w:t>
      </w:r>
      <w:r w:rsidRPr="009F5212">
        <w:rPr>
          <w:spacing w:val="2"/>
        </w:rPr>
        <w:t xml:space="preserve"> </w:t>
      </w:r>
      <w:r w:rsidRPr="009F5212">
        <w:rPr>
          <w:spacing w:val="-1"/>
        </w:rPr>
        <w:t>represents</w:t>
      </w:r>
      <w:r w:rsidRPr="009F5212">
        <w:rPr>
          <w:spacing w:val="-3"/>
        </w:rPr>
        <w:t xml:space="preserve"> </w:t>
      </w:r>
      <w:r w:rsidRPr="009F5212">
        <w:rPr>
          <w:spacing w:val="-1"/>
        </w:rPr>
        <w:t>and warrants</w:t>
      </w:r>
      <w:r w:rsidRPr="009F5212">
        <w:rPr>
          <w:spacing w:val="-2"/>
        </w:rPr>
        <w:t xml:space="preserve"> </w:t>
      </w:r>
      <w:r w:rsidRPr="009F5212">
        <w:rPr>
          <w:spacing w:val="-1"/>
        </w:rPr>
        <w:t>that these</w:t>
      </w:r>
      <w:r>
        <w:t xml:space="preserve"> </w:t>
      </w:r>
      <w:r w:rsidRPr="009F5212">
        <w:rPr>
          <w:spacing w:val="-1"/>
        </w:rPr>
        <w:t>data</w:t>
      </w:r>
      <w:r w:rsidRPr="009F5212">
        <w:rPr>
          <w:spacing w:val="-3"/>
        </w:rPr>
        <w:t xml:space="preserve"> </w:t>
      </w:r>
      <w:r>
        <w:t>are</w:t>
      </w:r>
      <w:r w:rsidRPr="009F5212">
        <w:rPr>
          <w:spacing w:val="1"/>
        </w:rPr>
        <w:t xml:space="preserve"> </w:t>
      </w:r>
      <w:r w:rsidRPr="009F5212">
        <w:rPr>
          <w:spacing w:val="-2"/>
        </w:rPr>
        <w:t>at</w:t>
      </w:r>
      <w:r>
        <w:t xml:space="preserve"> all</w:t>
      </w:r>
      <w:r w:rsidRPr="009F5212">
        <w:rPr>
          <w:spacing w:val="-3"/>
        </w:rPr>
        <w:t xml:space="preserve"> </w:t>
      </w:r>
      <w:r w:rsidRPr="009F5212">
        <w:rPr>
          <w:spacing w:val="-1"/>
        </w:rPr>
        <w:t>times</w:t>
      </w:r>
      <w:r>
        <w:t xml:space="preserve"> </w:t>
      </w:r>
      <w:r w:rsidRPr="009F5212">
        <w:rPr>
          <w:spacing w:val="-1"/>
        </w:rPr>
        <w:t>collected, processed</w:t>
      </w:r>
      <w:r w:rsidRPr="009F5212">
        <w:rPr>
          <w:spacing w:val="86"/>
        </w:rPr>
        <w:t xml:space="preserve"> </w:t>
      </w:r>
      <w:r w:rsidRPr="009F5212">
        <w:rPr>
          <w:spacing w:val="-1"/>
        </w:rPr>
        <w:t>and provided</w:t>
      </w:r>
      <w:r w:rsidRPr="009F5212">
        <w:rPr>
          <w:spacing w:val="-3"/>
        </w:rPr>
        <w:t xml:space="preserve"> </w:t>
      </w:r>
      <w:r>
        <w:t>to</w:t>
      </w:r>
      <w:r w:rsidRPr="009F5212">
        <w:rPr>
          <w:spacing w:val="-1"/>
        </w:rPr>
        <w:t xml:space="preserve"> Euronext</w:t>
      </w:r>
      <w:r w:rsidRPr="009F5212">
        <w:rPr>
          <w:spacing w:val="-2"/>
        </w:rPr>
        <w:t xml:space="preserve"> </w:t>
      </w:r>
      <w:r>
        <w:t xml:space="preserve">in </w:t>
      </w:r>
      <w:r w:rsidRPr="009F5212">
        <w:rPr>
          <w:spacing w:val="-1"/>
        </w:rPr>
        <w:t>accordance</w:t>
      </w:r>
      <w:r>
        <w:t xml:space="preserve"> </w:t>
      </w:r>
      <w:r w:rsidRPr="009F5212">
        <w:rPr>
          <w:spacing w:val="-1"/>
        </w:rPr>
        <w:t>with</w:t>
      </w:r>
      <w:r>
        <w:t xml:space="preserve"> all</w:t>
      </w:r>
      <w:r w:rsidRPr="009F5212">
        <w:rPr>
          <w:spacing w:val="-1"/>
        </w:rPr>
        <w:t xml:space="preserve"> applicable</w:t>
      </w:r>
      <w:r>
        <w:t xml:space="preserve"> law</w:t>
      </w:r>
      <w:r w:rsidRPr="009F5212">
        <w:rPr>
          <w:spacing w:val="-2"/>
        </w:rPr>
        <w:t xml:space="preserve"> </w:t>
      </w:r>
      <w:r>
        <w:t>and</w:t>
      </w:r>
      <w:r w:rsidRPr="009F5212">
        <w:rPr>
          <w:spacing w:val="-2"/>
        </w:rPr>
        <w:t xml:space="preserve"> </w:t>
      </w:r>
      <w:r w:rsidRPr="009F5212">
        <w:rPr>
          <w:spacing w:val="-1"/>
        </w:rPr>
        <w:t>regulation,</w:t>
      </w:r>
      <w:r>
        <w:t xml:space="preserve"> </w:t>
      </w:r>
      <w:r w:rsidRPr="009F5212">
        <w:rPr>
          <w:spacing w:val="-1"/>
        </w:rPr>
        <w:t>including without</w:t>
      </w:r>
      <w:r w:rsidRPr="009F5212">
        <w:rPr>
          <w:spacing w:val="67"/>
        </w:rPr>
        <w:t xml:space="preserve"> </w:t>
      </w:r>
      <w:r w:rsidRPr="009F5212">
        <w:rPr>
          <w:spacing w:val="-1"/>
        </w:rPr>
        <w:t>limitation that</w:t>
      </w:r>
      <w:r>
        <w:t xml:space="preserve"> </w:t>
      </w:r>
      <w:r w:rsidRPr="009F5212">
        <w:rPr>
          <w:spacing w:val="-1"/>
        </w:rPr>
        <w:t xml:space="preserve">relating </w:t>
      </w:r>
      <w:r>
        <w:t>to</w:t>
      </w:r>
      <w:r w:rsidRPr="009F5212">
        <w:rPr>
          <w:spacing w:val="-1"/>
        </w:rPr>
        <w:t xml:space="preserve"> the</w:t>
      </w:r>
      <w:r>
        <w:t xml:space="preserve"> </w:t>
      </w:r>
      <w:r w:rsidRPr="009F5212">
        <w:rPr>
          <w:spacing w:val="-1"/>
        </w:rPr>
        <w:t>protection</w:t>
      </w:r>
      <w:r w:rsidRPr="009F5212">
        <w:rPr>
          <w:spacing w:val="-3"/>
        </w:rPr>
        <w:t xml:space="preserve"> </w:t>
      </w:r>
      <w:r>
        <w:t xml:space="preserve">of </w:t>
      </w:r>
      <w:r w:rsidRPr="009F5212">
        <w:rPr>
          <w:spacing w:val="-1"/>
        </w:rPr>
        <w:t>individuals</w:t>
      </w:r>
      <w:r w:rsidRPr="009F5212">
        <w:rPr>
          <w:spacing w:val="-3"/>
        </w:rPr>
        <w:t xml:space="preserve"> </w:t>
      </w:r>
      <w:r>
        <w:t>with</w:t>
      </w:r>
      <w:r w:rsidRPr="009F5212">
        <w:rPr>
          <w:spacing w:val="-1"/>
        </w:rPr>
        <w:t xml:space="preserve"> regard to</w:t>
      </w:r>
      <w:r w:rsidRPr="009F5212">
        <w:rPr>
          <w:spacing w:val="1"/>
        </w:rPr>
        <w:t xml:space="preserve"> </w:t>
      </w:r>
      <w:r w:rsidRPr="009F5212">
        <w:rPr>
          <w:spacing w:val="-1"/>
        </w:rPr>
        <w:t>the</w:t>
      </w:r>
      <w:r w:rsidRPr="009F5212">
        <w:rPr>
          <w:spacing w:val="-2"/>
        </w:rPr>
        <w:t xml:space="preserve"> </w:t>
      </w:r>
      <w:r w:rsidRPr="009F5212">
        <w:rPr>
          <w:spacing w:val="-1"/>
        </w:rPr>
        <w:t xml:space="preserve">processing </w:t>
      </w:r>
      <w:r>
        <w:t xml:space="preserve">of </w:t>
      </w:r>
      <w:r w:rsidRPr="009F5212">
        <w:rPr>
          <w:spacing w:val="-1"/>
        </w:rPr>
        <w:t>personal</w:t>
      </w:r>
      <w:r w:rsidRPr="009F5212">
        <w:rPr>
          <w:spacing w:val="65"/>
        </w:rPr>
        <w:t xml:space="preserve"> </w:t>
      </w:r>
      <w:r w:rsidRPr="009F5212">
        <w:rPr>
          <w:spacing w:val="-1"/>
        </w:rPr>
        <w:t>data.</w:t>
      </w:r>
      <w:r>
        <w:t xml:space="preserve"> </w:t>
      </w:r>
    </w:p>
    <w:p w:rsidR="005D0D4A" w:rsidRDefault="005D0D4A" w:rsidP="00903F15">
      <w:pPr>
        <w:pStyle w:val="BodyText"/>
        <w:keepNext/>
        <w:widowControl w:val="0"/>
        <w:tabs>
          <w:tab w:val="left" w:pos="709"/>
        </w:tabs>
        <w:spacing w:before="120" w:after="0" w:line="240" w:lineRule="auto"/>
        <w:ind w:left="709" w:right="195"/>
      </w:pPr>
    </w:p>
    <w:p w:rsidR="00771BF7" w:rsidRPr="004F53F2" w:rsidRDefault="00771BF7" w:rsidP="00903F15">
      <w:pPr>
        <w:pStyle w:val="BodyText"/>
        <w:keepNext/>
        <w:widowControl w:val="0"/>
        <w:tabs>
          <w:tab w:val="left" w:pos="709"/>
        </w:tabs>
        <w:spacing w:before="120" w:after="0" w:line="240" w:lineRule="auto"/>
        <w:ind w:left="709" w:right="195"/>
      </w:pPr>
    </w:p>
    <w:p w:rsidR="008B615C" w:rsidRPr="000A3EED" w:rsidRDefault="008B615C">
      <w:pPr>
        <w:pStyle w:val="Heading2"/>
        <w:numPr>
          <w:ilvl w:val="0"/>
          <w:numId w:val="14"/>
        </w:numPr>
        <w:pBdr>
          <w:top w:val="none" w:sz="0" w:space="0" w:color="auto"/>
          <w:bottom w:val="single" w:sz="4" w:space="1" w:color="008D7F"/>
        </w:pBdr>
        <w:ind w:left="567" w:hanging="567"/>
        <w:rPr>
          <w:sz w:val="26"/>
        </w:rPr>
      </w:pPr>
      <w:bookmarkStart w:id="29" w:name="_Ref508804491"/>
      <w:r w:rsidRPr="000A3EED">
        <w:rPr>
          <w:sz w:val="26"/>
        </w:rPr>
        <w:lastRenderedPageBreak/>
        <w:t>Governing Law</w:t>
      </w:r>
      <w:bookmarkEnd w:id="29"/>
    </w:p>
    <w:p w:rsidR="008B615C" w:rsidRDefault="008B615C">
      <w:pPr>
        <w:pStyle w:val="ListParagraph"/>
        <w:keepNext/>
        <w:numPr>
          <w:ilvl w:val="1"/>
          <w:numId w:val="14"/>
        </w:numPr>
        <w:ind w:left="567" w:hanging="567"/>
        <w:contextualSpacing w:val="0"/>
        <w:jc w:val="left"/>
      </w:pPr>
      <w:r>
        <w:t xml:space="preserve">The Terms and Conditions and any non-contractual obligations arising out of or in connection with it will be governed by the laws of The Netherlands. </w:t>
      </w:r>
    </w:p>
    <w:p w:rsidR="008B615C" w:rsidRDefault="008B615C">
      <w:pPr>
        <w:pStyle w:val="ListParagraph"/>
        <w:keepNext/>
        <w:numPr>
          <w:ilvl w:val="1"/>
          <w:numId w:val="14"/>
        </w:numPr>
        <w:ind w:left="567" w:hanging="567"/>
        <w:contextualSpacing w:val="0"/>
        <w:jc w:val="left"/>
      </w:pPr>
      <w:r>
        <w:t>The courts of The Netherlands have exclusive jurisdiction to settle any dispute arising out of or in connection with the Terms and Conditions.</w:t>
      </w:r>
    </w:p>
    <w:p w:rsidR="00EC35A3" w:rsidRPr="000A3EED" w:rsidRDefault="00EC35A3">
      <w:pPr>
        <w:pStyle w:val="Heading2"/>
        <w:numPr>
          <w:ilvl w:val="0"/>
          <w:numId w:val="14"/>
        </w:numPr>
        <w:pBdr>
          <w:top w:val="none" w:sz="0" w:space="0" w:color="auto"/>
          <w:bottom w:val="single" w:sz="4" w:space="1" w:color="008D7F"/>
        </w:pBdr>
        <w:ind w:left="567" w:hanging="567"/>
        <w:rPr>
          <w:sz w:val="26"/>
        </w:rPr>
      </w:pPr>
      <w:bookmarkStart w:id="30" w:name="_Ref464230441"/>
      <w:bookmarkStart w:id="31" w:name="_Ref464230577"/>
      <w:bookmarkStart w:id="32" w:name="_Toc483524676"/>
      <w:bookmarkStart w:id="33" w:name="_Toc487540197"/>
      <w:bookmarkStart w:id="34" w:name="_Toc491009129"/>
      <w:r>
        <w:rPr>
          <w:sz w:val="26"/>
        </w:rPr>
        <w:t>Term and T</w:t>
      </w:r>
      <w:r w:rsidRPr="000A3EED">
        <w:rPr>
          <w:sz w:val="26"/>
        </w:rPr>
        <w:t>ermination</w:t>
      </w:r>
      <w:bookmarkEnd w:id="30"/>
      <w:bookmarkEnd w:id="31"/>
      <w:bookmarkEnd w:id="32"/>
      <w:bookmarkEnd w:id="33"/>
      <w:bookmarkEnd w:id="34"/>
    </w:p>
    <w:p w:rsidR="00EC35A3" w:rsidRDefault="00EC35A3">
      <w:pPr>
        <w:pStyle w:val="BodyText"/>
        <w:keepNext/>
        <w:numPr>
          <w:ilvl w:val="1"/>
          <w:numId w:val="14"/>
        </w:numPr>
        <w:ind w:left="567" w:hanging="567"/>
      </w:pPr>
      <w:bookmarkStart w:id="35" w:name="_Ref464228781"/>
      <w:r>
        <w:t>T</w:t>
      </w:r>
      <w:r w:rsidR="00435F49">
        <w:t>he</w:t>
      </w:r>
      <w:r>
        <w:t xml:space="preserve"> Terms and Conditions will enter into force on the Effective Date and will continue to be in force until terminated by either Euronext or the Issuer giving the other party not less than 3 (three) months prior written notice (including by email) at any time to be effective at the end of a calendar month.</w:t>
      </w:r>
      <w:bookmarkStart w:id="36" w:name="_Toc483524662"/>
      <w:bookmarkEnd w:id="35"/>
    </w:p>
    <w:p w:rsidR="00EC35A3" w:rsidRPr="004D6263" w:rsidRDefault="00EC35A3">
      <w:pPr>
        <w:pStyle w:val="BodyText"/>
        <w:keepNext/>
        <w:numPr>
          <w:ilvl w:val="1"/>
          <w:numId w:val="14"/>
        </w:numPr>
        <w:ind w:left="567" w:hanging="567"/>
      </w:pPr>
      <w:r>
        <w:t>I</w:t>
      </w:r>
      <w:r w:rsidRPr="00BA1E20">
        <w:t xml:space="preserve">f the </w:t>
      </w:r>
      <w:r>
        <w:t>Issuer</w:t>
      </w:r>
      <w:r w:rsidRPr="00BA1E20">
        <w:t xml:space="preserve"> materially breaches </w:t>
      </w:r>
      <w:r>
        <w:t xml:space="preserve">the Terms and Conditions and the material breach is either incapable of  remedy, or is capable of remedy, but not remedied within 30 (thirty) days of the written notice being given by Euronext requiring it to be remedied,  </w:t>
      </w:r>
      <w:r w:rsidRPr="00BA1E20">
        <w:t xml:space="preserve">Euronext may immediately </w:t>
      </w:r>
      <w:r>
        <w:t xml:space="preserve">terminate these Terms and Conditions and </w:t>
      </w:r>
      <w:r w:rsidRPr="00BA1E20">
        <w:t>suspend the provision of I</w:t>
      </w:r>
      <w:r>
        <w:t xml:space="preserve">nformation in whole or in part, </w:t>
      </w:r>
      <w:r w:rsidRPr="00BA1E20">
        <w:t>without being liable, until the brea</w:t>
      </w:r>
      <w:r>
        <w:t>ch is remedied.</w:t>
      </w:r>
    </w:p>
    <w:p w:rsidR="00A126D5" w:rsidRDefault="00A126D5">
      <w:pPr>
        <w:pStyle w:val="Heading2"/>
        <w:numPr>
          <w:ilvl w:val="0"/>
          <w:numId w:val="14"/>
        </w:numPr>
        <w:pBdr>
          <w:top w:val="none" w:sz="0" w:space="0" w:color="auto"/>
          <w:bottom w:val="single" w:sz="8" w:space="1" w:color="008D7F"/>
        </w:pBdr>
        <w:ind w:left="601" w:hanging="567"/>
        <w:rPr>
          <w:sz w:val="26"/>
        </w:rPr>
      </w:pPr>
      <w:r>
        <w:rPr>
          <w:sz w:val="26"/>
        </w:rPr>
        <w:t>General Provisions</w:t>
      </w:r>
    </w:p>
    <w:p w:rsidR="00A126D5" w:rsidRDefault="00A126D5">
      <w:pPr>
        <w:pStyle w:val="BodyText"/>
        <w:keepNext/>
        <w:numPr>
          <w:ilvl w:val="1"/>
          <w:numId w:val="14"/>
        </w:numPr>
        <w:ind w:left="720" w:hanging="720"/>
      </w:pPr>
      <w:r w:rsidRPr="006A2CFF">
        <w:t>Th</w:t>
      </w:r>
      <w:r>
        <w:t xml:space="preserve">ese Terms and Conditions </w:t>
      </w:r>
      <w:r w:rsidRPr="006A2CFF">
        <w:t xml:space="preserve">constitute the entire understanding of </w:t>
      </w:r>
      <w:r w:rsidR="00D426B4">
        <w:t>Euronext and the Issuer</w:t>
      </w:r>
      <w:r w:rsidRPr="006A2CFF">
        <w:t xml:space="preserve"> with regard to the subject matter hereof and it supersedes all proposals, representations or prior agreements, whether oral or in writing</w:t>
      </w:r>
      <w:r w:rsidR="00D426B4">
        <w:t xml:space="preserve"> with regard to the subject matter of these Terms and Conditions.</w:t>
      </w:r>
      <w:r w:rsidR="0021096B" w:rsidRPr="006A2CFF" w:rsidDel="0021096B">
        <w:t xml:space="preserve"> </w:t>
      </w:r>
    </w:p>
    <w:p w:rsidR="00A126D5" w:rsidRDefault="00A126D5" w:rsidP="00387516">
      <w:pPr>
        <w:pStyle w:val="BodyText"/>
        <w:keepNext/>
        <w:numPr>
          <w:ilvl w:val="1"/>
          <w:numId w:val="14"/>
        </w:numPr>
        <w:ind w:left="720" w:hanging="720"/>
      </w:pPr>
      <w:r w:rsidRPr="006A2CFF">
        <w:t xml:space="preserve">If any </w:t>
      </w:r>
      <w:r w:rsidRPr="00F31C62">
        <w:rPr>
          <w:lang w:val="en-US"/>
        </w:rPr>
        <w:t>part</w:t>
      </w:r>
      <w:r w:rsidRPr="006A2CFF">
        <w:t xml:space="preserve"> of </w:t>
      </w:r>
      <w:r>
        <w:t xml:space="preserve">these Terms and Conditions </w:t>
      </w:r>
      <w:r w:rsidR="00C928A9">
        <w:t xml:space="preserve">that </w:t>
      </w:r>
      <w:r w:rsidRPr="006A2CFF">
        <w:t>is not fundamental is found to be illegal or unenforceable, this will not affect the legality or enforceability of the remainder of th</w:t>
      </w:r>
      <w:r>
        <w:t>ese Terms and Conditions</w:t>
      </w:r>
      <w:r w:rsidRPr="006A2CFF">
        <w:t>.</w:t>
      </w:r>
    </w:p>
    <w:p w:rsidR="00A126D5" w:rsidRDefault="00A126D5">
      <w:pPr>
        <w:pStyle w:val="BodyText"/>
        <w:keepNext/>
        <w:numPr>
          <w:ilvl w:val="1"/>
          <w:numId w:val="14"/>
        </w:numPr>
        <w:ind w:left="720" w:hanging="720"/>
      </w:pPr>
      <w:bookmarkStart w:id="37" w:name="_Ref488783318"/>
      <w:r>
        <w:t>The Issuer may not assign any right and obligation of these Terms and Conditions to another party  without explicit written approval from Euronext.</w:t>
      </w:r>
      <w:bookmarkEnd w:id="37"/>
      <w:r>
        <w:t xml:space="preserve"> </w:t>
      </w:r>
    </w:p>
    <w:p w:rsidR="00A126D5" w:rsidRPr="006A2CFF" w:rsidRDefault="00A126D5" w:rsidP="00387516">
      <w:pPr>
        <w:pStyle w:val="ListParagraph"/>
        <w:keepNext/>
        <w:numPr>
          <w:ilvl w:val="1"/>
          <w:numId w:val="14"/>
        </w:numPr>
        <w:ind w:left="720" w:hanging="720"/>
        <w:contextualSpacing w:val="0"/>
        <w:jc w:val="left"/>
      </w:pPr>
      <w:r w:rsidRPr="006A2CFF">
        <w:t xml:space="preserve">Nothing in </w:t>
      </w:r>
      <w:r>
        <w:t xml:space="preserve">these Terms and Conditions </w:t>
      </w:r>
      <w:r w:rsidRPr="006A2CFF">
        <w:t xml:space="preserve">will create or be deemed to create a partnership or agency relationship between </w:t>
      </w:r>
      <w:r w:rsidR="00C928A9">
        <w:t>Euronext and the Issuer</w:t>
      </w:r>
      <w:r w:rsidRPr="006A2CFF">
        <w:t>.</w:t>
      </w:r>
    </w:p>
    <w:p w:rsidR="00A126D5" w:rsidRDefault="00A126D5" w:rsidP="00387516">
      <w:pPr>
        <w:pStyle w:val="ListParagraph"/>
        <w:keepNext/>
        <w:numPr>
          <w:ilvl w:val="1"/>
          <w:numId w:val="14"/>
        </w:numPr>
        <w:ind w:left="720" w:hanging="720"/>
        <w:contextualSpacing w:val="0"/>
        <w:jc w:val="left"/>
      </w:pPr>
      <w:r>
        <w:t xml:space="preserve">Clauses </w:t>
      </w:r>
      <w:r w:rsidR="00C928A9">
        <w:fldChar w:fldCharType="begin"/>
      </w:r>
      <w:r w:rsidR="00C928A9">
        <w:instrText xml:space="preserve"> REF _Ref503527403 \r \h </w:instrText>
      </w:r>
      <w:r w:rsidR="00C928A9">
        <w:fldChar w:fldCharType="separate"/>
      </w:r>
      <w:r w:rsidR="00BA2190">
        <w:t>5</w:t>
      </w:r>
      <w:r w:rsidR="00C928A9">
        <w:fldChar w:fldCharType="end"/>
      </w:r>
      <w:r w:rsidR="00A75DBD">
        <w:t xml:space="preserve">, </w:t>
      </w:r>
      <w:r w:rsidR="00C928A9">
        <w:fldChar w:fldCharType="begin"/>
      </w:r>
      <w:r w:rsidR="00C928A9">
        <w:instrText xml:space="preserve"> REF _Ref503527423 \r \h </w:instrText>
      </w:r>
      <w:r w:rsidR="00C928A9">
        <w:fldChar w:fldCharType="separate"/>
      </w:r>
      <w:r w:rsidR="00BA2190">
        <w:t>6</w:t>
      </w:r>
      <w:r w:rsidR="00C928A9">
        <w:fldChar w:fldCharType="end"/>
      </w:r>
      <w:r w:rsidR="00A75DBD">
        <w:t xml:space="preserve">, </w:t>
      </w:r>
      <w:r w:rsidR="00C928A9">
        <w:fldChar w:fldCharType="begin"/>
      </w:r>
      <w:r w:rsidR="00C928A9">
        <w:instrText xml:space="preserve"> REF _Ref503527434 \r \h </w:instrText>
      </w:r>
      <w:r w:rsidR="00C928A9">
        <w:fldChar w:fldCharType="separate"/>
      </w:r>
      <w:r w:rsidR="00BA2190">
        <w:t>7</w:t>
      </w:r>
      <w:r w:rsidR="00C928A9">
        <w:fldChar w:fldCharType="end"/>
      </w:r>
      <w:r w:rsidR="00A75DBD">
        <w:t xml:space="preserve"> and </w:t>
      </w:r>
      <w:r w:rsidR="00F41116">
        <w:fldChar w:fldCharType="begin"/>
      </w:r>
      <w:r w:rsidR="00F41116">
        <w:instrText xml:space="preserve"> REF _Ref508804491 \r \h </w:instrText>
      </w:r>
      <w:r w:rsidR="00F41116">
        <w:fldChar w:fldCharType="separate"/>
      </w:r>
      <w:r w:rsidR="00BA2190">
        <w:t>10</w:t>
      </w:r>
      <w:r w:rsidR="00F41116">
        <w:fldChar w:fldCharType="end"/>
      </w:r>
      <w:r w:rsidR="00F41116">
        <w:t xml:space="preserve"> </w:t>
      </w:r>
      <w:r>
        <w:t xml:space="preserve">of these Terms and Conditions survive termination of </w:t>
      </w:r>
      <w:r w:rsidR="00C928A9">
        <w:t>these Terms and Conditions</w:t>
      </w:r>
      <w:r>
        <w:t xml:space="preserve">. </w:t>
      </w:r>
    </w:p>
    <w:p w:rsidR="00B50B5F" w:rsidRPr="00CF68FD" w:rsidRDefault="00B50B5F" w:rsidP="004F6612">
      <w:pPr>
        <w:pStyle w:val="Heading2"/>
        <w:numPr>
          <w:ilvl w:val="0"/>
          <w:numId w:val="14"/>
        </w:numPr>
        <w:pBdr>
          <w:top w:val="none" w:sz="0" w:space="0" w:color="auto"/>
          <w:bottom w:val="single" w:sz="8" w:space="1" w:color="008D7F"/>
        </w:pBdr>
        <w:ind w:left="601" w:hanging="567"/>
        <w:rPr>
          <w:sz w:val="26"/>
        </w:rPr>
      </w:pPr>
      <w:r>
        <w:rPr>
          <w:sz w:val="26"/>
        </w:rPr>
        <w:t xml:space="preserve">Signature </w:t>
      </w:r>
      <w:bookmarkEnd w:id="36"/>
    </w:p>
    <w:p w:rsidR="00B50B5F" w:rsidRDefault="00B50B5F" w:rsidP="004F6612">
      <w:pPr>
        <w:pStyle w:val="BodyText"/>
        <w:keepNext/>
        <w:numPr>
          <w:ilvl w:val="0"/>
          <w:numId w:val="27"/>
        </w:numPr>
        <w:ind w:left="567" w:hanging="567"/>
      </w:pPr>
      <w:r w:rsidRPr="002C1E24">
        <w:t xml:space="preserve">By signing </w:t>
      </w:r>
      <w:r w:rsidR="000A1F1D">
        <w:t>the Terms and Conditions</w:t>
      </w:r>
      <w:r w:rsidRPr="002C1E24">
        <w:t xml:space="preserve"> the </w:t>
      </w:r>
      <w:r w:rsidR="00ED453F">
        <w:t>Issuer</w:t>
      </w:r>
      <w:r w:rsidRPr="002C1E24">
        <w:t xml:space="preserve"> acknowledges that it accepts the content and applicability</w:t>
      </w:r>
      <w:r>
        <w:t xml:space="preserve"> of </w:t>
      </w:r>
      <w:r w:rsidR="000A1F1D">
        <w:t>the Terms and Conditions</w:t>
      </w:r>
      <w:r>
        <w:t>.</w:t>
      </w:r>
    </w:p>
    <w:p w:rsidR="00B50B5F" w:rsidRDefault="00B50B5F" w:rsidP="004F6612">
      <w:pPr>
        <w:pStyle w:val="BodyText"/>
        <w:keepNext/>
        <w:numPr>
          <w:ilvl w:val="0"/>
          <w:numId w:val="27"/>
        </w:numPr>
        <w:ind w:left="567" w:hanging="567"/>
      </w:pPr>
      <w:r w:rsidRPr="002C1E24">
        <w:t xml:space="preserve">Two identical copies of this form have been presented to Euronext and the </w:t>
      </w:r>
      <w:r w:rsidR="00ED453F">
        <w:t>Issuer</w:t>
      </w:r>
      <w:r w:rsidRPr="002C1E24">
        <w:t xml:space="preserve"> for </w:t>
      </w:r>
      <w:r w:rsidR="000A1F1D">
        <w:t>execution by each</w:t>
      </w:r>
      <w:r w:rsidRPr="002C1E24">
        <w:t xml:space="preserve">. Following execution </w:t>
      </w:r>
      <w:r w:rsidR="000A1F1D">
        <w:t>both Euronext and the Issuer</w:t>
      </w:r>
      <w:r w:rsidRPr="002C1E24">
        <w:t xml:space="preserve"> shall retain one copy of </w:t>
      </w:r>
      <w:r w:rsidR="000A1F1D">
        <w:t>these Terms and Conditions</w:t>
      </w:r>
      <w:r w:rsidRPr="002C1E24">
        <w:t xml:space="preserve">. Euronext and the </w:t>
      </w:r>
      <w:r w:rsidR="00ED453F">
        <w:t>Issuer</w:t>
      </w:r>
      <w:r w:rsidRPr="002C1E24">
        <w:t xml:space="preserve"> agree that either of the two copies represent a full and complete version of </w:t>
      </w:r>
      <w:r w:rsidR="000A1F1D">
        <w:t>the Terms and Conditions</w:t>
      </w:r>
      <w:r w:rsidRPr="002C1E24">
        <w:t>.</w:t>
      </w:r>
    </w:p>
    <w:p w:rsidR="009F70DD" w:rsidRDefault="009F70DD" w:rsidP="004F6612">
      <w:pPr>
        <w:pStyle w:val="BodyText"/>
        <w:keepNext/>
        <w:spacing w:after="120"/>
        <w:rPr>
          <w:b/>
        </w:rPr>
      </w:pPr>
    </w:p>
    <w:p w:rsidR="00551937" w:rsidRPr="00251DF4" w:rsidRDefault="00551937" w:rsidP="004F6612">
      <w:pPr>
        <w:pStyle w:val="BodyText"/>
        <w:keepNext/>
        <w:spacing w:after="120"/>
        <w:rPr>
          <w:b/>
        </w:rPr>
      </w:pPr>
      <w:r w:rsidRPr="00251DF4">
        <w:rPr>
          <w:b/>
        </w:rPr>
        <w:t xml:space="preserve">On behalf of the </w:t>
      </w:r>
      <w:r w:rsidR="00311873" w:rsidRPr="00251DF4">
        <w:rPr>
          <w:b/>
        </w:rPr>
        <w:t>Issuer</w:t>
      </w:r>
      <w:r w:rsidRPr="00251DF4">
        <w:rPr>
          <w:b/>
        </w:rPr>
        <w:t>:</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963D4B" w:rsidRPr="00551937" w:rsidTr="00CB7556">
        <w:trPr>
          <w:trHeight w:val="927"/>
        </w:trPr>
        <w:tc>
          <w:tcPr>
            <w:tcW w:w="1526" w:type="dxa"/>
            <w:shd w:val="clear" w:color="auto" w:fill="auto"/>
          </w:tcPr>
          <w:p w:rsidR="00963D4B" w:rsidRPr="00551937" w:rsidRDefault="00963D4B" w:rsidP="004F6612">
            <w:pPr>
              <w:pStyle w:val="TABLEINFOBOLD15pt"/>
              <w:keepNext/>
              <w:spacing w:after="120"/>
              <w:rPr>
                <w:color w:val="00685E"/>
              </w:rPr>
            </w:pPr>
            <w:r w:rsidRPr="00551937">
              <w:rPr>
                <w:color w:val="00685E"/>
              </w:rPr>
              <w:t>Signature *</w:t>
            </w:r>
          </w:p>
        </w:tc>
        <w:tc>
          <w:tcPr>
            <w:tcW w:w="5245" w:type="dxa"/>
            <w:tcBorders>
              <w:bottom w:val="single" w:sz="4" w:space="0" w:color="auto"/>
            </w:tcBorders>
          </w:tcPr>
          <w:p w:rsidR="00963D4B" w:rsidRPr="00551937" w:rsidRDefault="00963D4B" w:rsidP="004F6612">
            <w:pPr>
              <w:pStyle w:val="TableBodyLarge"/>
              <w:keepNext/>
              <w:spacing w:after="120"/>
            </w:pPr>
          </w:p>
        </w:tc>
      </w:tr>
      <w:tr w:rsidR="00963D4B" w:rsidRPr="00551937" w:rsidTr="00CB7556">
        <w:trPr>
          <w:trHeight w:val="371"/>
        </w:trPr>
        <w:tc>
          <w:tcPr>
            <w:tcW w:w="1526" w:type="dxa"/>
            <w:shd w:val="clear" w:color="auto" w:fill="auto"/>
            <w:vAlign w:val="center"/>
          </w:tcPr>
          <w:p w:rsidR="00963D4B" w:rsidRPr="00551937" w:rsidRDefault="00963D4B" w:rsidP="004F6612">
            <w:pPr>
              <w:pStyle w:val="TABLEINFOBOLD15pt"/>
              <w:keepNex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9574B8" w:rsidP="004F6612">
            <w:pPr>
              <w:pStyle w:val="TableBodyLarge"/>
              <w:keepNext/>
              <w:spacing w:after="120"/>
            </w:pPr>
            <w:r>
              <w:fldChar w:fldCharType="begin">
                <w:ffData>
                  <w:name w:val="Text31"/>
                  <w:enabled/>
                  <w:calcOnExit w:val="0"/>
                  <w:textInput/>
                </w:ffData>
              </w:fldChar>
            </w:r>
            <w:bookmarkStart w:id="3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963D4B" w:rsidRPr="00551937" w:rsidTr="00CB7556">
        <w:trPr>
          <w:trHeight w:val="371"/>
        </w:trPr>
        <w:tc>
          <w:tcPr>
            <w:tcW w:w="1526" w:type="dxa"/>
            <w:shd w:val="clear" w:color="auto" w:fill="auto"/>
            <w:vAlign w:val="center"/>
          </w:tcPr>
          <w:p w:rsidR="00963D4B" w:rsidRPr="00551937" w:rsidRDefault="00963D4B" w:rsidP="004F6612">
            <w:pPr>
              <w:pStyle w:val="TABLEINFOBOLD15pt"/>
              <w:keepNex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9574B8" w:rsidP="004F6612">
            <w:pPr>
              <w:pStyle w:val="TableBodyLarge"/>
              <w:keepNext/>
              <w:spacing w:after="120"/>
            </w:pPr>
            <w:r>
              <w:fldChar w:fldCharType="begin">
                <w:ffData>
                  <w:name w:val="Text32"/>
                  <w:enabled/>
                  <w:calcOnExit w:val="0"/>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963D4B" w:rsidRPr="00551937" w:rsidTr="00CB7556">
        <w:trPr>
          <w:trHeight w:val="371"/>
        </w:trPr>
        <w:tc>
          <w:tcPr>
            <w:tcW w:w="1526" w:type="dxa"/>
            <w:shd w:val="clear" w:color="auto" w:fill="auto"/>
            <w:vAlign w:val="center"/>
          </w:tcPr>
          <w:p w:rsidR="00963D4B" w:rsidRPr="00551937" w:rsidRDefault="00963D4B" w:rsidP="004F6612">
            <w:pPr>
              <w:pStyle w:val="TABLEINFOBOLD15pt"/>
              <w:keepNex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9574B8" w:rsidP="004F6612">
            <w:pPr>
              <w:pStyle w:val="TableBodyLarge"/>
              <w:keepNext/>
              <w:spacing w:after="120"/>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963D4B" w:rsidRDefault="00963D4B" w:rsidP="004F6612">
      <w:pPr>
        <w:keepNext/>
        <w:rPr>
          <w:i/>
        </w:rPr>
      </w:pPr>
    </w:p>
    <w:p w:rsidR="00551937" w:rsidRPr="00551937" w:rsidRDefault="00551937" w:rsidP="004F6612">
      <w:pPr>
        <w:keepNext/>
        <w:rPr>
          <w:i/>
        </w:rPr>
      </w:pPr>
      <w:r w:rsidRPr="00551937">
        <w:rPr>
          <w:i/>
        </w:rPr>
        <w:t xml:space="preserve">*To be signed by </w:t>
      </w:r>
      <w:r w:rsidR="00DC7D93">
        <w:rPr>
          <w:i/>
        </w:rPr>
        <w:t>a representative</w:t>
      </w:r>
      <w:r w:rsidR="00C20DE8">
        <w:rPr>
          <w:i/>
        </w:rPr>
        <w:t xml:space="preserve"> duly</w:t>
      </w:r>
      <w:r w:rsidRPr="00551937">
        <w:rPr>
          <w:i/>
        </w:rPr>
        <w:t xml:space="preserve"> authorized by the </w:t>
      </w:r>
      <w:r w:rsidR="00CA2DAB">
        <w:rPr>
          <w:i/>
        </w:rPr>
        <w:t>Issuer</w:t>
      </w:r>
      <w:r w:rsidRPr="00551937">
        <w:rPr>
          <w:i/>
        </w:rPr>
        <w:t xml:space="preserve"> </w:t>
      </w:r>
    </w:p>
    <w:p w:rsidR="009C0840" w:rsidRDefault="009C0840" w:rsidP="004F6612">
      <w:pPr>
        <w:pStyle w:val="BodyText"/>
        <w:keepNext/>
        <w:spacing w:after="120"/>
        <w:rPr>
          <w:b/>
        </w:rPr>
      </w:pPr>
    </w:p>
    <w:p w:rsidR="00551937" w:rsidRPr="00551937" w:rsidRDefault="00551937" w:rsidP="004F6612">
      <w:pPr>
        <w:pStyle w:val="BodyText"/>
        <w:keepNext/>
        <w:spacing w:after="120"/>
        <w:rPr>
          <w:b/>
        </w:rPr>
      </w:pPr>
      <w:r w:rsidRPr="00551937">
        <w:rPr>
          <w:b/>
        </w:rPr>
        <w:t>On behalf of Euronext:</w:t>
      </w:r>
    </w:p>
    <w:tbl>
      <w:tblPr>
        <w:tblStyle w:val="TableGrid"/>
        <w:tblpPr w:leftFromText="180" w:rightFromText="180" w:vertAnchor="text" w:tblpY="1"/>
        <w:tblOverlap w:val="nev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551937" w:rsidRPr="00551937" w:rsidTr="00963D4B">
        <w:trPr>
          <w:trHeight w:val="981"/>
        </w:trPr>
        <w:tc>
          <w:tcPr>
            <w:tcW w:w="1526" w:type="dxa"/>
            <w:shd w:val="clear" w:color="auto" w:fill="auto"/>
          </w:tcPr>
          <w:p w:rsidR="00551937" w:rsidRPr="00551937" w:rsidRDefault="00551937" w:rsidP="004F6612">
            <w:pPr>
              <w:pStyle w:val="TABLEINFOBOLD15pt"/>
              <w:keepNext/>
              <w:spacing w:after="120"/>
              <w:rPr>
                <w:color w:val="00685E"/>
              </w:rPr>
            </w:pPr>
            <w:r w:rsidRPr="00551937">
              <w:rPr>
                <w:color w:val="00685E"/>
              </w:rPr>
              <w:t xml:space="preserve">Signature </w:t>
            </w:r>
          </w:p>
        </w:tc>
        <w:tc>
          <w:tcPr>
            <w:tcW w:w="5245" w:type="dxa"/>
            <w:tcBorders>
              <w:bottom w:val="single" w:sz="4" w:space="0" w:color="auto"/>
            </w:tcBorders>
          </w:tcPr>
          <w:p w:rsidR="00551937" w:rsidRPr="00551937" w:rsidRDefault="00551937" w:rsidP="004F6612">
            <w:pPr>
              <w:pStyle w:val="TableBodyLarge"/>
              <w:keepNext/>
              <w:spacing w:after="120"/>
            </w:pPr>
          </w:p>
        </w:tc>
      </w:tr>
      <w:tr w:rsidR="00551937" w:rsidRPr="00551937" w:rsidTr="00963D4B">
        <w:trPr>
          <w:trHeight w:val="393"/>
        </w:trPr>
        <w:tc>
          <w:tcPr>
            <w:tcW w:w="1526" w:type="dxa"/>
            <w:shd w:val="clear" w:color="auto" w:fill="auto"/>
            <w:vAlign w:val="center"/>
          </w:tcPr>
          <w:p w:rsidR="00551937" w:rsidRPr="00551937" w:rsidRDefault="00551937" w:rsidP="004F6612">
            <w:pPr>
              <w:pStyle w:val="TABLEINFOBOLD15pt"/>
              <w:keepNext/>
              <w:spacing w:after="120"/>
              <w:rPr>
                <w:color w:val="00685E"/>
              </w:rPr>
            </w:pPr>
            <w:r w:rsidRPr="00551937">
              <w:rPr>
                <w:color w:val="00685E"/>
              </w:rPr>
              <w:t xml:space="preserve">Name </w:t>
            </w:r>
          </w:p>
        </w:tc>
        <w:tc>
          <w:tcPr>
            <w:tcW w:w="5245" w:type="dxa"/>
            <w:tcBorders>
              <w:top w:val="single" w:sz="4" w:space="0" w:color="auto"/>
              <w:bottom w:val="single" w:sz="4" w:space="0" w:color="auto"/>
            </w:tcBorders>
            <w:vAlign w:val="center"/>
          </w:tcPr>
          <w:p w:rsidR="00551937" w:rsidRPr="00551937" w:rsidRDefault="002760EE" w:rsidP="004F6612">
            <w:pPr>
              <w:pStyle w:val="TableBodyLarge"/>
              <w:keepNext/>
              <w:spacing w:after="120"/>
            </w:pPr>
            <w:r>
              <w:t>M</w:t>
            </w:r>
            <w:r w:rsidR="00551937" w:rsidRPr="00551937">
              <w:t>r. Michael Hodgson</w:t>
            </w:r>
          </w:p>
        </w:tc>
      </w:tr>
      <w:tr w:rsidR="00551937" w:rsidRPr="00551937" w:rsidTr="00963D4B">
        <w:trPr>
          <w:trHeight w:val="393"/>
        </w:trPr>
        <w:tc>
          <w:tcPr>
            <w:tcW w:w="1526" w:type="dxa"/>
            <w:shd w:val="clear" w:color="auto" w:fill="auto"/>
            <w:vAlign w:val="center"/>
          </w:tcPr>
          <w:p w:rsidR="00551937" w:rsidRPr="00551937" w:rsidRDefault="00551937" w:rsidP="004F6612">
            <w:pPr>
              <w:pStyle w:val="TABLEINFOBOLD15pt"/>
              <w:keepNext/>
              <w:spacing w:after="120"/>
              <w:rPr>
                <w:color w:val="00685E"/>
              </w:rPr>
            </w:pPr>
            <w:r w:rsidRPr="00551937">
              <w:rPr>
                <w:color w:val="00685E"/>
              </w:rPr>
              <w:t>POSITION</w:t>
            </w:r>
          </w:p>
        </w:tc>
        <w:tc>
          <w:tcPr>
            <w:tcW w:w="5245" w:type="dxa"/>
            <w:tcBorders>
              <w:top w:val="single" w:sz="4" w:space="0" w:color="auto"/>
              <w:bottom w:val="single" w:sz="4" w:space="0" w:color="auto"/>
            </w:tcBorders>
            <w:vAlign w:val="center"/>
          </w:tcPr>
          <w:p w:rsidR="00551937" w:rsidRPr="00551937" w:rsidRDefault="00551937" w:rsidP="004F6612">
            <w:pPr>
              <w:pStyle w:val="TableBodyLarge"/>
              <w:keepNext/>
              <w:spacing w:after="120"/>
            </w:pPr>
            <w:r w:rsidRPr="00551937">
              <w:t>Head of Information Services</w:t>
            </w:r>
          </w:p>
        </w:tc>
      </w:tr>
      <w:tr w:rsidR="00551937" w:rsidRPr="00551937" w:rsidTr="00963D4B">
        <w:trPr>
          <w:trHeight w:val="393"/>
        </w:trPr>
        <w:tc>
          <w:tcPr>
            <w:tcW w:w="1526" w:type="dxa"/>
            <w:shd w:val="clear" w:color="auto" w:fill="auto"/>
            <w:vAlign w:val="center"/>
          </w:tcPr>
          <w:p w:rsidR="00551937" w:rsidRPr="00551937" w:rsidRDefault="00551937" w:rsidP="004F6612">
            <w:pPr>
              <w:pStyle w:val="TABLEINFOBOLD15pt"/>
              <w:keepNex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551937" w:rsidRPr="00551937" w:rsidRDefault="00551937" w:rsidP="004F6612">
            <w:pPr>
              <w:pStyle w:val="TableBodyLarge"/>
              <w:keepNext/>
              <w:spacing w:after="120"/>
            </w:pPr>
            <w:r w:rsidRPr="00551937">
              <w:t xml:space="preserve">Amsterdam, </w:t>
            </w:r>
          </w:p>
        </w:tc>
      </w:tr>
    </w:tbl>
    <w:p w:rsidR="00EA0362" w:rsidRDefault="00EA0362" w:rsidP="00E11BAE">
      <w:pPr>
        <w:pStyle w:val="BodyText"/>
      </w:pPr>
    </w:p>
    <w:p w:rsidR="00EA0362" w:rsidRDefault="00EA0362" w:rsidP="00E11BAE">
      <w:pPr>
        <w:pStyle w:val="BodyText"/>
      </w:pPr>
    </w:p>
    <w:p w:rsidR="00EA0362" w:rsidRDefault="00EA0362" w:rsidP="00E11BAE">
      <w:pPr>
        <w:pStyle w:val="BodyText"/>
      </w:pPr>
    </w:p>
    <w:p w:rsidR="00EA0362" w:rsidRDefault="00EA0362" w:rsidP="00E11BAE">
      <w:pPr>
        <w:pStyle w:val="BodyText"/>
        <w:rPr>
          <w:sz w:val="26"/>
        </w:rPr>
      </w:pPr>
    </w:p>
    <w:p w:rsidR="00EA0362" w:rsidRDefault="00EA0362" w:rsidP="00E11BAE">
      <w:pPr>
        <w:pStyle w:val="BodyText"/>
      </w:pPr>
    </w:p>
    <w:p w:rsidR="00EA0362" w:rsidRDefault="00EA0362" w:rsidP="00E11BAE">
      <w:pPr>
        <w:pStyle w:val="BodyText"/>
      </w:pPr>
    </w:p>
    <w:p w:rsidR="00EA0362" w:rsidRDefault="00EA0362" w:rsidP="00E11BAE">
      <w:pPr>
        <w:pStyle w:val="BodyText"/>
      </w:pPr>
    </w:p>
    <w:p w:rsidR="00EA0362" w:rsidRDefault="00EA0362" w:rsidP="00E11BAE">
      <w:pPr>
        <w:pStyle w:val="BodyText"/>
      </w:pPr>
    </w:p>
    <w:p w:rsidR="00EA0362" w:rsidRDefault="00EA0362" w:rsidP="00E11BAE">
      <w:pPr>
        <w:pStyle w:val="BodyText"/>
      </w:pPr>
    </w:p>
    <w:p w:rsidR="00EA0362" w:rsidRDefault="00EA0362" w:rsidP="00E11BAE">
      <w:pPr>
        <w:pStyle w:val="BodyText"/>
      </w:pPr>
    </w:p>
    <w:p w:rsidR="00E071A4" w:rsidRDefault="00E071A4">
      <w:pPr>
        <w:spacing w:after="200" w:line="276" w:lineRule="auto"/>
        <w:jc w:val="left"/>
        <w:rPr>
          <w:rFonts w:eastAsiaTheme="majorEastAsia" w:cstheme="majorBidi"/>
          <w:b/>
          <w:bCs/>
          <w:caps/>
          <w:color w:val="008D7F"/>
          <w:sz w:val="26"/>
          <w:szCs w:val="26"/>
        </w:rPr>
      </w:pPr>
      <w:r>
        <w:rPr>
          <w:sz w:val="26"/>
        </w:rPr>
        <w:br w:type="page"/>
      </w:r>
    </w:p>
    <w:p w:rsidR="00EA0362" w:rsidRPr="00CF68FD" w:rsidRDefault="00EA0362" w:rsidP="00E11BAE">
      <w:pPr>
        <w:pStyle w:val="Heading2"/>
        <w:numPr>
          <w:ilvl w:val="0"/>
          <w:numId w:val="0"/>
        </w:numPr>
        <w:pBdr>
          <w:top w:val="none" w:sz="0" w:space="0" w:color="auto"/>
          <w:bottom w:val="single" w:sz="8" w:space="1" w:color="008D7F"/>
        </w:pBdr>
        <w:ind w:left="680" w:hanging="680"/>
        <w:rPr>
          <w:sz w:val="26"/>
        </w:rPr>
      </w:pPr>
      <w:r>
        <w:rPr>
          <w:sz w:val="26"/>
        </w:rPr>
        <w:lastRenderedPageBreak/>
        <w:t>APPENDIX A</w:t>
      </w:r>
      <w:r w:rsidR="006401E2">
        <w:rPr>
          <w:sz w:val="26"/>
        </w:rPr>
        <w:t>:  AFFILIATES</w:t>
      </w:r>
    </w:p>
    <w:p w:rsidR="00551937" w:rsidRDefault="006401E2" w:rsidP="00EA0362">
      <w:pPr>
        <w:keepNext/>
        <w:rPr>
          <w:i/>
        </w:rPr>
      </w:pPr>
      <w:r>
        <w:t xml:space="preserve">If applicable, please include the details of the Affiliates below. </w:t>
      </w:r>
    </w:p>
    <w:p w:rsidR="00EA0362" w:rsidRDefault="00EA0362" w:rsidP="004F6612">
      <w:pPr>
        <w:keepNext/>
        <w:rPr>
          <w:i/>
        </w:rPr>
      </w:pPr>
    </w:p>
    <w:tbl>
      <w:tblPr>
        <w:tblW w:w="9796" w:type="dxa"/>
        <w:tblInd w:w="93" w:type="dxa"/>
        <w:tblLook w:val="04A0" w:firstRow="1" w:lastRow="0" w:firstColumn="1" w:lastColumn="0" w:noHBand="0" w:noVBand="1"/>
      </w:tblPr>
      <w:tblGrid>
        <w:gridCol w:w="299"/>
        <w:gridCol w:w="2268"/>
        <w:gridCol w:w="7229"/>
      </w:tblGrid>
      <w:tr w:rsidR="00EA0362" w:rsidRPr="00630F8E" w:rsidTr="002B2C7B">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EA0362" w:rsidRPr="00E11BAE" w:rsidRDefault="00EA0362" w:rsidP="002B2C7B">
            <w:pPr>
              <w:spacing w:after="0" w:line="240" w:lineRule="auto"/>
              <w:jc w:val="left"/>
              <w:rPr>
                <w:rFonts w:eastAsia="Times New Roman" w:cs="Times New Roman"/>
                <w:color w:val="000000"/>
                <w:sz w:val="18"/>
                <w:szCs w:val="18"/>
                <w:lang w:val="en-US" w:eastAsia="en-GB"/>
              </w:rPr>
            </w:pPr>
            <w:r w:rsidRPr="00E11BAE">
              <w:rPr>
                <w:rFonts w:eastAsia="Times New Roman" w:cs="Times New Roman"/>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EA0362" w:rsidRPr="00630F8E" w:rsidRDefault="00EA0362" w:rsidP="002B2C7B">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EA0362" w:rsidRPr="00630F8E" w:rsidRDefault="00EA0362" w:rsidP="002B2C7B">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EA0362" w:rsidRPr="00076C56" w:rsidRDefault="00C43420" w:rsidP="002B2C7B">
            <w:pPr>
              <w:spacing w:after="0" w:line="240" w:lineRule="auto"/>
              <w:jc w:val="left"/>
              <w:rPr>
                <w:rFonts w:cstheme="minorHAnsi"/>
                <w:sz w:val="18"/>
                <w:szCs w:val="18"/>
              </w:rPr>
            </w:pPr>
            <w:sdt>
              <w:sdtPr>
                <w:rPr>
                  <w:sz w:val="24"/>
                </w:rPr>
                <w:id w:val="-1508523235"/>
                <w14:checkbox>
                  <w14:checked w14:val="0"/>
                  <w14:checkedState w14:val="2612" w14:font="MS Gothic"/>
                  <w14:uncheckedState w14:val="2610" w14:font="MS Gothic"/>
                </w14:checkbox>
              </w:sdtPr>
              <w:sdtEndPr/>
              <w:sdtContent>
                <w:r w:rsidR="00EA0362" w:rsidRPr="005E2D39">
                  <w:rPr>
                    <w:rFonts w:ascii="MS Gothic" w:eastAsia="MS Gothic" w:hAnsi="MS Gothic" w:hint="eastAsia"/>
                    <w:sz w:val="24"/>
                  </w:rPr>
                  <w:t>☐</w:t>
                </w:r>
              </w:sdtContent>
            </w:sdt>
            <w:r w:rsidR="00EA0362">
              <w:rPr>
                <w:sz w:val="24"/>
              </w:rPr>
              <w:t xml:space="preserve"> </w:t>
            </w:r>
            <w:r w:rsidR="00EA0362" w:rsidRPr="00B733A3">
              <w:rPr>
                <w:sz w:val="20"/>
              </w:rPr>
              <w:t>Mr</w:t>
            </w:r>
            <w:r w:rsidR="00EA0362">
              <w:rPr>
                <w:sz w:val="20"/>
              </w:rPr>
              <w:t xml:space="preserve"> </w:t>
            </w:r>
            <w:sdt>
              <w:sdtPr>
                <w:rPr>
                  <w:sz w:val="24"/>
                </w:rPr>
                <w:id w:val="-1579349283"/>
                <w14:checkbox>
                  <w14:checked w14:val="0"/>
                  <w14:checkedState w14:val="2612" w14:font="MS Gothic"/>
                  <w14:uncheckedState w14:val="2610" w14:font="MS Gothic"/>
                </w14:checkbox>
              </w:sdtPr>
              <w:sdtEndPr/>
              <w:sdtContent>
                <w:r w:rsidR="00EA0362" w:rsidRPr="005E2D39">
                  <w:rPr>
                    <w:rFonts w:ascii="MS Gothic" w:eastAsia="MS Gothic" w:hAnsi="MS Gothic" w:hint="eastAsia"/>
                    <w:sz w:val="24"/>
                  </w:rPr>
                  <w:t>☐</w:t>
                </w:r>
              </w:sdtContent>
            </w:sdt>
            <w:r w:rsidR="00EA0362">
              <w:rPr>
                <w:sz w:val="24"/>
              </w:rPr>
              <w:t xml:space="preserve"> </w:t>
            </w:r>
            <w:r w:rsidR="00EA0362" w:rsidRPr="00B733A3">
              <w:rPr>
                <w:sz w:val="20"/>
              </w:rPr>
              <w:t>M</w:t>
            </w:r>
            <w:r w:rsidR="00EA0362">
              <w:rPr>
                <w:sz w:val="20"/>
              </w:rPr>
              <w:t>s</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EA0362" w:rsidRPr="004F0986" w:rsidRDefault="00EA0362" w:rsidP="00EA0362">
      <w:pPr>
        <w:tabs>
          <w:tab w:val="left" w:pos="1215"/>
        </w:tabs>
        <w:jc w:val="left"/>
        <w:rPr>
          <w:sz w:val="14"/>
        </w:rPr>
      </w:pPr>
      <w:r w:rsidRPr="004F0986">
        <w:rPr>
          <w:sz w:val="14"/>
        </w:rPr>
        <w:t>*Mandatory Fields</w:t>
      </w:r>
    </w:p>
    <w:p w:rsidR="00EA0362" w:rsidRPr="004F0986" w:rsidRDefault="00EA0362" w:rsidP="00EA0362">
      <w:pPr>
        <w:tabs>
          <w:tab w:val="left" w:pos="1215"/>
        </w:tabs>
        <w:jc w:val="left"/>
        <w:rPr>
          <w:b/>
          <w:sz w:val="14"/>
        </w:rPr>
      </w:pPr>
    </w:p>
    <w:tbl>
      <w:tblPr>
        <w:tblW w:w="9796" w:type="dxa"/>
        <w:tblInd w:w="93" w:type="dxa"/>
        <w:tblLook w:val="04A0" w:firstRow="1" w:lastRow="0" w:firstColumn="1" w:lastColumn="0" w:noHBand="0" w:noVBand="1"/>
      </w:tblPr>
      <w:tblGrid>
        <w:gridCol w:w="299"/>
        <w:gridCol w:w="2268"/>
        <w:gridCol w:w="7229"/>
      </w:tblGrid>
      <w:tr w:rsidR="00EA0362" w:rsidRPr="00630F8E" w:rsidTr="002B2C7B">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EA0362" w:rsidRPr="00624445" w:rsidRDefault="00EA0362" w:rsidP="002B2C7B">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EA0362" w:rsidRPr="00630F8E" w:rsidRDefault="00EA0362" w:rsidP="002B2C7B">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EA0362" w:rsidRPr="00630F8E" w:rsidRDefault="00EA0362" w:rsidP="002B2C7B">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EA0362" w:rsidRPr="00076C56" w:rsidRDefault="00C43420" w:rsidP="002B2C7B">
            <w:pPr>
              <w:spacing w:after="0" w:line="240" w:lineRule="auto"/>
              <w:jc w:val="left"/>
              <w:rPr>
                <w:rFonts w:cstheme="minorHAnsi"/>
                <w:sz w:val="18"/>
                <w:szCs w:val="18"/>
              </w:rPr>
            </w:pPr>
            <w:sdt>
              <w:sdtPr>
                <w:rPr>
                  <w:sz w:val="24"/>
                </w:rPr>
                <w:id w:val="1182558375"/>
                <w14:checkbox>
                  <w14:checked w14:val="0"/>
                  <w14:checkedState w14:val="2612" w14:font="MS Gothic"/>
                  <w14:uncheckedState w14:val="2610" w14:font="MS Gothic"/>
                </w14:checkbox>
              </w:sdtPr>
              <w:sdtEndPr/>
              <w:sdtContent>
                <w:r w:rsidR="00EA0362" w:rsidRPr="005E2D39">
                  <w:rPr>
                    <w:rFonts w:ascii="MS Gothic" w:eastAsia="MS Gothic" w:hAnsi="MS Gothic" w:hint="eastAsia"/>
                    <w:sz w:val="24"/>
                  </w:rPr>
                  <w:t>☐</w:t>
                </w:r>
              </w:sdtContent>
            </w:sdt>
            <w:r w:rsidR="00EA0362">
              <w:rPr>
                <w:sz w:val="24"/>
              </w:rPr>
              <w:t xml:space="preserve"> </w:t>
            </w:r>
            <w:r w:rsidR="00EA0362" w:rsidRPr="00B733A3">
              <w:rPr>
                <w:sz w:val="20"/>
              </w:rPr>
              <w:t>Mr</w:t>
            </w:r>
            <w:r w:rsidR="00EA0362">
              <w:rPr>
                <w:sz w:val="20"/>
              </w:rPr>
              <w:t xml:space="preserve"> </w:t>
            </w:r>
            <w:sdt>
              <w:sdtPr>
                <w:rPr>
                  <w:sz w:val="24"/>
                </w:rPr>
                <w:id w:val="948900297"/>
                <w14:checkbox>
                  <w14:checked w14:val="0"/>
                  <w14:checkedState w14:val="2612" w14:font="MS Gothic"/>
                  <w14:uncheckedState w14:val="2610" w14:font="MS Gothic"/>
                </w14:checkbox>
              </w:sdtPr>
              <w:sdtEndPr/>
              <w:sdtContent>
                <w:r w:rsidR="00EA0362" w:rsidRPr="005E2D39">
                  <w:rPr>
                    <w:rFonts w:ascii="MS Gothic" w:eastAsia="MS Gothic" w:hAnsi="MS Gothic" w:hint="eastAsia"/>
                    <w:sz w:val="24"/>
                  </w:rPr>
                  <w:t>☐</w:t>
                </w:r>
              </w:sdtContent>
            </w:sdt>
            <w:r w:rsidR="00EA0362">
              <w:rPr>
                <w:sz w:val="24"/>
              </w:rPr>
              <w:t xml:space="preserve"> </w:t>
            </w:r>
            <w:r w:rsidR="00EA0362" w:rsidRPr="00B733A3">
              <w:rPr>
                <w:sz w:val="20"/>
              </w:rPr>
              <w:t>M</w:t>
            </w:r>
            <w:r w:rsidR="00EA0362">
              <w:rPr>
                <w:sz w:val="20"/>
              </w:rPr>
              <w:t>s</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EA0362" w:rsidRDefault="00EA0362" w:rsidP="00EA0362">
      <w:pPr>
        <w:tabs>
          <w:tab w:val="left" w:pos="1215"/>
        </w:tabs>
        <w:jc w:val="left"/>
        <w:rPr>
          <w:sz w:val="14"/>
        </w:rPr>
      </w:pPr>
      <w:r w:rsidRPr="004F0986">
        <w:rPr>
          <w:sz w:val="14"/>
        </w:rPr>
        <w:t>*Mandatory Fields</w:t>
      </w:r>
    </w:p>
    <w:p w:rsidR="00EA0362" w:rsidRDefault="00EA0362" w:rsidP="00EA0362">
      <w:pPr>
        <w:tabs>
          <w:tab w:val="left" w:pos="1215"/>
        </w:tabs>
        <w:jc w:val="left"/>
        <w:rPr>
          <w:sz w:val="14"/>
        </w:rPr>
      </w:pPr>
    </w:p>
    <w:tbl>
      <w:tblPr>
        <w:tblW w:w="9796" w:type="dxa"/>
        <w:tblInd w:w="93" w:type="dxa"/>
        <w:tblLook w:val="04A0" w:firstRow="1" w:lastRow="0" w:firstColumn="1" w:lastColumn="0" w:noHBand="0" w:noVBand="1"/>
      </w:tblPr>
      <w:tblGrid>
        <w:gridCol w:w="299"/>
        <w:gridCol w:w="2268"/>
        <w:gridCol w:w="7229"/>
      </w:tblGrid>
      <w:tr w:rsidR="006401E2" w:rsidRPr="00630F8E" w:rsidTr="002B2C7B">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6401E2" w:rsidRPr="00624445" w:rsidRDefault="006401E2" w:rsidP="002B2C7B">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6401E2" w:rsidRPr="00630F8E" w:rsidRDefault="006401E2" w:rsidP="002B2C7B">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401E2" w:rsidRPr="00630F8E" w:rsidRDefault="006401E2" w:rsidP="002B2C7B">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401E2" w:rsidRPr="00076C56" w:rsidRDefault="00C43420" w:rsidP="002B2C7B">
            <w:pPr>
              <w:spacing w:after="0" w:line="240" w:lineRule="auto"/>
              <w:jc w:val="left"/>
              <w:rPr>
                <w:rFonts w:cstheme="minorHAnsi"/>
                <w:sz w:val="18"/>
                <w:szCs w:val="18"/>
              </w:rPr>
            </w:pPr>
            <w:sdt>
              <w:sdtPr>
                <w:rPr>
                  <w:sz w:val="24"/>
                </w:rPr>
                <w:id w:val="-2000255992"/>
                <w14:checkbox>
                  <w14:checked w14:val="0"/>
                  <w14:checkedState w14:val="2612" w14:font="MS Gothic"/>
                  <w14:uncheckedState w14:val="2610" w14:font="MS Gothic"/>
                </w14:checkbox>
              </w:sdtPr>
              <w:sdtEndPr/>
              <w:sdtContent>
                <w:r w:rsidR="006401E2" w:rsidRPr="005E2D39">
                  <w:rPr>
                    <w:rFonts w:ascii="MS Gothic" w:eastAsia="MS Gothic" w:hAnsi="MS Gothic" w:hint="eastAsia"/>
                    <w:sz w:val="24"/>
                  </w:rPr>
                  <w:t>☐</w:t>
                </w:r>
              </w:sdtContent>
            </w:sdt>
            <w:r w:rsidR="006401E2">
              <w:rPr>
                <w:sz w:val="24"/>
              </w:rPr>
              <w:t xml:space="preserve"> </w:t>
            </w:r>
            <w:r w:rsidR="006401E2" w:rsidRPr="00B733A3">
              <w:rPr>
                <w:sz w:val="20"/>
              </w:rPr>
              <w:t>Mr</w:t>
            </w:r>
            <w:r w:rsidR="006401E2">
              <w:rPr>
                <w:sz w:val="20"/>
              </w:rPr>
              <w:t xml:space="preserve"> </w:t>
            </w:r>
            <w:sdt>
              <w:sdtPr>
                <w:rPr>
                  <w:sz w:val="24"/>
                </w:rPr>
                <w:id w:val="2046255718"/>
                <w14:checkbox>
                  <w14:checked w14:val="0"/>
                  <w14:checkedState w14:val="2612" w14:font="MS Gothic"/>
                  <w14:uncheckedState w14:val="2610" w14:font="MS Gothic"/>
                </w14:checkbox>
              </w:sdtPr>
              <w:sdtEndPr/>
              <w:sdtContent>
                <w:r w:rsidR="006401E2" w:rsidRPr="005E2D39">
                  <w:rPr>
                    <w:rFonts w:ascii="MS Gothic" w:eastAsia="MS Gothic" w:hAnsi="MS Gothic" w:hint="eastAsia"/>
                    <w:sz w:val="24"/>
                  </w:rPr>
                  <w:t>☐</w:t>
                </w:r>
              </w:sdtContent>
            </w:sdt>
            <w:r w:rsidR="006401E2">
              <w:rPr>
                <w:sz w:val="24"/>
              </w:rPr>
              <w:t xml:space="preserve"> </w:t>
            </w:r>
            <w:r w:rsidR="006401E2" w:rsidRPr="00B733A3">
              <w:rPr>
                <w:sz w:val="20"/>
              </w:rPr>
              <w:t>M</w:t>
            </w:r>
            <w:r w:rsidR="006401E2">
              <w:rPr>
                <w:sz w:val="20"/>
              </w:rPr>
              <w:t>s</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EA0362" w:rsidRPr="00551937" w:rsidRDefault="006401E2" w:rsidP="00E11BAE">
      <w:pPr>
        <w:tabs>
          <w:tab w:val="left" w:pos="1215"/>
        </w:tabs>
        <w:jc w:val="left"/>
        <w:rPr>
          <w:i/>
        </w:rPr>
      </w:pPr>
      <w:r w:rsidRPr="004F0986">
        <w:rPr>
          <w:sz w:val="14"/>
        </w:rPr>
        <w:t>*Mandatory Fields</w:t>
      </w:r>
    </w:p>
    <w:sectPr w:rsidR="00EA0362" w:rsidRPr="00551937" w:rsidSect="008B615C">
      <w:headerReference w:type="even" r:id="rId11"/>
      <w:headerReference w:type="default" r:id="rId12"/>
      <w:footerReference w:type="even" r:id="rId13"/>
      <w:footerReference w:type="default" r:id="rId14"/>
      <w:headerReference w:type="first" r:id="rId15"/>
      <w:footerReference w:type="first" r:id="rId16"/>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1E" w:rsidRDefault="0035521E" w:rsidP="00837636">
      <w:pPr>
        <w:spacing w:after="0" w:line="240" w:lineRule="auto"/>
      </w:pPr>
      <w:r>
        <w:separator/>
      </w:r>
    </w:p>
  </w:endnote>
  <w:endnote w:type="continuationSeparator" w:id="0">
    <w:p w:rsidR="0035521E" w:rsidRDefault="0035521E"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D4A" w:rsidRDefault="005D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5F" w:rsidRDefault="00C43420">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DC565F" w:rsidRPr="00E22B20">
          <w:rPr>
            <w:rFonts w:cstheme="minorHAnsi"/>
            <w:color w:val="808080" w:themeColor="background1" w:themeShade="80"/>
            <w:szCs w:val="16"/>
          </w:rPr>
          <w:t>© 201</w:t>
        </w:r>
        <w:r w:rsidR="00FC2A47">
          <w:rPr>
            <w:rFonts w:cstheme="minorHAnsi"/>
            <w:color w:val="808080" w:themeColor="background1" w:themeShade="80"/>
            <w:szCs w:val="16"/>
          </w:rPr>
          <w:t>8</w:t>
        </w:r>
        <w:r w:rsidR="00DC565F" w:rsidRPr="00E22B20">
          <w:rPr>
            <w:rFonts w:cstheme="minorHAnsi"/>
            <w:color w:val="808080" w:themeColor="background1" w:themeShade="80"/>
            <w:szCs w:val="16"/>
          </w:rPr>
          <w:t>, Euronext N.V. - All rights reserved.</w:t>
        </w:r>
      </w:sdtContent>
    </w:sdt>
    <w:r w:rsidR="00DC565F">
      <w:t xml:space="preserve"> </w:t>
    </w:r>
    <w:r w:rsidR="00DC565F">
      <w:tab/>
    </w:r>
    <w:r w:rsidR="00DC565F">
      <w:tab/>
    </w:r>
    <w:sdt>
      <w:sdtPr>
        <w:id w:val="-1510294516"/>
        <w:docPartObj>
          <w:docPartGallery w:val="Page Numbers (Bottom of Page)"/>
          <w:docPartUnique/>
        </w:docPartObj>
      </w:sdtPr>
      <w:sdtEndPr/>
      <w:sdtContent>
        <w:sdt>
          <w:sdtPr>
            <w:id w:val="860082579"/>
            <w:docPartObj>
              <w:docPartGallery w:val="Page Numbers (Top of Page)"/>
              <w:docPartUnique/>
            </w:docPartObj>
          </w:sdtPr>
          <w:sdtEndPr/>
          <w:sdtContent>
            <w:r w:rsidR="00DC565F">
              <w:t xml:space="preserve">Page </w:t>
            </w:r>
            <w:r w:rsidR="00DC565F">
              <w:rPr>
                <w:b/>
                <w:bCs/>
                <w:sz w:val="24"/>
                <w:szCs w:val="24"/>
              </w:rPr>
              <w:fldChar w:fldCharType="begin"/>
            </w:r>
            <w:r w:rsidR="00DC565F">
              <w:rPr>
                <w:b/>
                <w:bCs/>
              </w:rPr>
              <w:instrText xml:space="preserve"> PAGE </w:instrText>
            </w:r>
            <w:r w:rsidR="00DC565F">
              <w:rPr>
                <w:b/>
                <w:bCs/>
                <w:sz w:val="24"/>
                <w:szCs w:val="24"/>
              </w:rPr>
              <w:fldChar w:fldCharType="separate"/>
            </w:r>
            <w:r w:rsidR="005E7792">
              <w:rPr>
                <w:b/>
                <w:bCs/>
                <w:noProof/>
              </w:rPr>
              <w:t>9</w:t>
            </w:r>
            <w:r w:rsidR="00DC565F">
              <w:rPr>
                <w:b/>
                <w:bCs/>
                <w:sz w:val="24"/>
                <w:szCs w:val="24"/>
              </w:rPr>
              <w:fldChar w:fldCharType="end"/>
            </w:r>
            <w:r w:rsidR="00DC565F">
              <w:t xml:space="preserve"> of </w:t>
            </w:r>
            <w:r w:rsidR="00DC565F">
              <w:rPr>
                <w:b/>
                <w:bCs/>
                <w:sz w:val="24"/>
                <w:szCs w:val="24"/>
              </w:rPr>
              <w:fldChar w:fldCharType="begin"/>
            </w:r>
            <w:r w:rsidR="00DC565F">
              <w:rPr>
                <w:b/>
                <w:bCs/>
              </w:rPr>
              <w:instrText xml:space="preserve"> NUMPAGES  </w:instrText>
            </w:r>
            <w:r w:rsidR="00DC565F">
              <w:rPr>
                <w:b/>
                <w:bCs/>
                <w:sz w:val="24"/>
                <w:szCs w:val="24"/>
              </w:rPr>
              <w:fldChar w:fldCharType="separate"/>
            </w:r>
            <w:r w:rsidR="005E7792">
              <w:rPr>
                <w:b/>
                <w:bCs/>
                <w:noProof/>
              </w:rPr>
              <w:t>9</w:t>
            </w:r>
            <w:r w:rsidR="00DC565F">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5F" w:rsidRDefault="00C43420">
    <w:pPr>
      <w:pStyle w:val="Footer"/>
      <w:jc w:val="right"/>
    </w:pPr>
    <w:sdt>
      <w:sdtPr>
        <w:rPr>
          <w:b/>
          <w:color w:val="808080" w:themeColor="background1" w:themeShade="80"/>
          <w:sz w:val="16"/>
          <w:szCs w:val="16"/>
        </w:rPr>
        <w:id w:val="-1867432522"/>
        <w:docPartObj>
          <w:docPartGallery w:val="Page Numbers (Bottom of Page)"/>
          <w:docPartUnique/>
        </w:docPartObj>
      </w:sdtPr>
      <w:sdtEndPr>
        <w:rPr>
          <w:b w:val="0"/>
          <w:noProof/>
        </w:rPr>
      </w:sdtEndPr>
      <w:sdtContent>
        <w:r w:rsidR="00DC565F" w:rsidRPr="00E22B20">
          <w:rPr>
            <w:rFonts w:cstheme="minorHAnsi"/>
            <w:color w:val="808080" w:themeColor="background1" w:themeShade="80"/>
            <w:szCs w:val="16"/>
          </w:rPr>
          <w:t>© 2017, Euronext N.V. - All rights reserved.</w:t>
        </w:r>
      </w:sdtContent>
    </w:sdt>
    <w:r w:rsidR="00DC565F">
      <w:t xml:space="preserve"> </w:t>
    </w:r>
    <w:r w:rsidR="00DC565F">
      <w:tab/>
    </w:r>
    <w:r w:rsidR="00DC565F">
      <w:tab/>
    </w:r>
    <w:sdt>
      <w:sdtPr>
        <w:id w:val="1864638335"/>
        <w:docPartObj>
          <w:docPartGallery w:val="Page Numbers (Bottom of Page)"/>
          <w:docPartUnique/>
        </w:docPartObj>
      </w:sdtPr>
      <w:sdtEndPr/>
      <w:sdtContent>
        <w:sdt>
          <w:sdtPr>
            <w:id w:val="661984522"/>
            <w:docPartObj>
              <w:docPartGallery w:val="Page Numbers (Top of Page)"/>
              <w:docPartUnique/>
            </w:docPartObj>
          </w:sdtPr>
          <w:sdtEndPr/>
          <w:sdtContent>
            <w:r w:rsidR="00DC565F">
              <w:t xml:space="preserve">Page </w:t>
            </w:r>
            <w:r w:rsidR="00DC565F">
              <w:rPr>
                <w:b/>
                <w:bCs/>
                <w:sz w:val="24"/>
                <w:szCs w:val="24"/>
              </w:rPr>
              <w:fldChar w:fldCharType="begin"/>
            </w:r>
            <w:r w:rsidR="00DC565F">
              <w:rPr>
                <w:b/>
                <w:bCs/>
              </w:rPr>
              <w:instrText xml:space="preserve"> PAGE </w:instrText>
            </w:r>
            <w:r w:rsidR="00DC565F">
              <w:rPr>
                <w:b/>
                <w:bCs/>
                <w:sz w:val="24"/>
                <w:szCs w:val="24"/>
              </w:rPr>
              <w:fldChar w:fldCharType="separate"/>
            </w:r>
            <w:r w:rsidR="005E7792">
              <w:rPr>
                <w:b/>
                <w:bCs/>
                <w:noProof/>
              </w:rPr>
              <w:t>1</w:t>
            </w:r>
            <w:r w:rsidR="00DC565F">
              <w:rPr>
                <w:b/>
                <w:bCs/>
                <w:sz w:val="24"/>
                <w:szCs w:val="24"/>
              </w:rPr>
              <w:fldChar w:fldCharType="end"/>
            </w:r>
            <w:r w:rsidR="00DC565F">
              <w:t xml:space="preserve"> of </w:t>
            </w:r>
            <w:r w:rsidR="00DC565F">
              <w:rPr>
                <w:b/>
                <w:bCs/>
                <w:sz w:val="24"/>
                <w:szCs w:val="24"/>
              </w:rPr>
              <w:fldChar w:fldCharType="begin"/>
            </w:r>
            <w:r w:rsidR="00DC565F">
              <w:rPr>
                <w:b/>
                <w:bCs/>
              </w:rPr>
              <w:instrText xml:space="preserve"> NUMPAGES  </w:instrText>
            </w:r>
            <w:r w:rsidR="00DC565F">
              <w:rPr>
                <w:b/>
                <w:bCs/>
                <w:sz w:val="24"/>
                <w:szCs w:val="24"/>
              </w:rPr>
              <w:fldChar w:fldCharType="separate"/>
            </w:r>
            <w:r w:rsidR="005E7792">
              <w:rPr>
                <w:b/>
                <w:bCs/>
                <w:noProof/>
              </w:rPr>
              <w:t>9</w:t>
            </w:r>
            <w:r w:rsidR="00DC565F">
              <w:rPr>
                <w:b/>
                <w:bCs/>
                <w:sz w:val="24"/>
                <w:szCs w:val="24"/>
              </w:rPr>
              <w:fldChar w:fldCharType="end"/>
            </w:r>
          </w:sdtContent>
        </w:sdt>
      </w:sdtContent>
    </w:sdt>
  </w:p>
  <w:p w:rsidR="0025317A" w:rsidRDefault="0025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1E" w:rsidRDefault="0035521E" w:rsidP="00556F24">
      <w:pPr>
        <w:pStyle w:val="FootnoteSeparator"/>
      </w:pPr>
      <w:r>
        <w:tab/>
      </w:r>
    </w:p>
  </w:footnote>
  <w:footnote w:type="continuationSeparator" w:id="0">
    <w:p w:rsidR="0035521E" w:rsidRDefault="0035521E"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D4A" w:rsidRDefault="005D0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Pr="00CF7F3F" w:rsidRDefault="00915F90" w:rsidP="005E0471">
    <w:pPr>
      <w:pStyle w:val="HeaderTitle"/>
      <w:rPr>
        <w:color w:val="808080" w:themeColor="background1" w:themeShade="80"/>
        <w:lang w:val="en-US"/>
      </w:rPr>
    </w:pPr>
    <w:r>
      <w:rPr>
        <w:color w:val="808080" w:themeColor="background1" w:themeShade="80"/>
        <w:lang w:val="en-US"/>
      </w:rPr>
      <w:t>Special Terms and conditions for etf issuers</w:t>
    </w:r>
    <w:r w:rsidR="00B80F93">
      <w:rPr>
        <w:color w:val="808080" w:themeColor="background1" w:themeShade="80"/>
        <w:lang w:val="en-US"/>
      </w:rPr>
      <w:tab/>
    </w:r>
    <w:r w:rsidR="00FE3828">
      <w:rPr>
        <w:color w:val="808080" w:themeColor="background1" w:themeShade="80"/>
        <w:lang w:val="en-US"/>
      </w:rPr>
      <w:tab/>
    </w:r>
    <w:r w:rsidR="00A14F21" w:rsidRPr="00CF7F3F">
      <w:rPr>
        <w:b w:val="0"/>
        <w:color w:val="808080" w:themeColor="background1" w:themeShade="80"/>
        <w:lang w:val="en-US"/>
      </w:rPr>
      <w:t xml:space="preserve">(Version </w:t>
    </w:r>
    <w:r w:rsidR="005D0D4A">
      <w:rPr>
        <w:b w:val="0"/>
        <w:color w:val="808080" w:themeColor="background1" w:themeShade="80"/>
        <w:lang w:val="en-US"/>
      </w:rPr>
      <w:t>5</w:t>
    </w:r>
    <w:r w:rsidR="009F70DD">
      <w:rPr>
        <w:b w:val="0"/>
        <w:color w:val="808080" w:themeColor="background1" w:themeShade="80"/>
        <w:lang w:val="en-US"/>
      </w:rPr>
      <w:t>.</w:t>
    </w:r>
    <w:r w:rsidR="000D4BA0">
      <w:rPr>
        <w:b w:val="0"/>
        <w:color w:val="808080" w:themeColor="background1" w:themeShade="80"/>
        <w:lang w:val="en-US"/>
      </w:rPr>
      <w:t>0</w:t>
    </w:r>
    <w:r w:rsidR="00A14F21" w:rsidRPr="00CF7F3F">
      <w:rPr>
        <w:b w:val="0"/>
        <w:color w:val="808080" w:themeColor="background1" w:themeShade="80"/>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Default="00A14F21">
    <w:pPr>
      <w:pStyle w:val="Header"/>
    </w:pPr>
    <w:r>
      <w:rPr>
        <w:noProof/>
        <w:lang w:eastAsia="en-GB"/>
      </w:rPr>
      <w:drawing>
        <wp:anchor distT="0" distB="0" distL="114300" distR="114300" simplePos="0" relativeHeight="251657216" behindDoc="0" locked="0" layoutInCell="1" allowOverlap="1" wp14:anchorId="592565FD" wp14:editId="0AC6816A">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numPicBullet w:numPicBulletId="1">
    <w:pict>
      <v:shape id="_x0000_i1027" type="#_x0000_t75" style="width:11.25pt;height:11.25pt" o:bullet="t">
        <v:imagedata r:id="rId2" o:title="BD14654_"/>
      </v:shape>
    </w:pict>
  </w:numPicBullet>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15:restartNumberingAfterBreak="0">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984FD4"/>
    <w:multiLevelType w:val="hybridMultilevel"/>
    <w:tmpl w:val="85DCB97A"/>
    <w:lvl w:ilvl="0" w:tplc="F260E5A4">
      <w:start w:val="1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3251DE"/>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8"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0F06EE7"/>
    <w:multiLevelType w:val="hybridMultilevel"/>
    <w:tmpl w:val="03761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3" w15:restartNumberingAfterBreak="0">
    <w:nsid w:val="445251BF"/>
    <w:multiLevelType w:val="hybridMultilevel"/>
    <w:tmpl w:val="35D453FA"/>
    <w:lvl w:ilvl="0" w:tplc="E4FC18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60292"/>
    <w:multiLevelType w:val="hybridMultilevel"/>
    <w:tmpl w:val="7D8AA018"/>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82204"/>
    <w:multiLevelType w:val="hybridMultilevel"/>
    <w:tmpl w:val="534C2492"/>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241CD"/>
    <w:multiLevelType w:val="hybridMultilevel"/>
    <w:tmpl w:val="94F0372C"/>
    <w:lvl w:ilvl="0" w:tplc="F34EAAD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D6757"/>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4370033"/>
    <w:multiLevelType w:val="hybridMultilevel"/>
    <w:tmpl w:val="9C0E735A"/>
    <w:lvl w:ilvl="0" w:tplc="C9BA72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4"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5"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6" w15:restartNumberingAfterBreak="0">
    <w:nsid w:val="59EF709B"/>
    <w:multiLevelType w:val="hybridMultilevel"/>
    <w:tmpl w:val="F2AA1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15:restartNumberingAfterBreak="0">
    <w:nsid w:val="5E7D204F"/>
    <w:multiLevelType w:val="multilevel"/>
    <w:tmpl w:val="8CD43666"/>
    <w:numStyleLink w:val="NumbLstTableBullet"/>
  </w:abstractNum>
  <w:abstractNum w:abstractNumId="29"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43C0B"/>
    <w:multiLevelType w:val="hybridMultilevel"/>
    <w:tmpl w:val="DC74D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D2EA9"/>
    <w:multiLevelType w:val="hybridMultilevel"/>
    <w:tmpl w:val="86E8154A"/>
    <w:lvl w:ilvl="0" w:tplc="FAA8AE30">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F4F47"/>
    <w:multiLevelType w:val="hybridMultilevel"/>
    <w:tmpl w:val="A850845A"/>
    <w:lvl w:ilvl="0" w:tplc="E3804E88">
      <w:start w:val="1"/>
      <w:numFmt w:val="lowerLetter"/>
      <w:lvlText w:val="%1)"/>
      <w:lvlJc w:val="left"/>
      <w:pPr>
        <w:ind w:left="1430"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37" w15:restartNumberingAfterBreak="0">
    <w:nsid w:val="6D6A44B5"/>
    <w:multiLevelType w:val="hybridMultilevel"/>
    <w:tmpl w:val="0C7A23D6"/>
    <w:lvl w:ilvl="0" w:tplc="A20046D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DD55D36"/>
    <w:multiLevelType w:val="multilevel"/>
    <w:tmpl w:val="D3062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35126"/>
    <w:multiLevelType w:val="hybridMultilevel"/>
    <w:tmpl w:val="D82CC12C"/>
    <w:lvl w:ilvl="0" w:tplc="72E8A82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7"/>
  </w:num>
  <w:num w:numId="2">
    <w:abstractNumId w:val="24"/>
  </w:num>
  <w:num w:numId="3">
    <w:abstractNumId w:val="6"/>
  </w:num>
  <w:num w:numId="4">
    <w:abstractNumId w:val="8"/>
  </w:num>
  <w:num w:numId="5">
    <w:abstractNumId w:val="0"/>
  </w:num>
  <w:num w:numId="6">
    <w:abstractNumId w:val="23"/>
  </w:num>
  <w:num w:numId="7">
    <w:abstractNumId w:val="25"/>
  </w:num>
  <w:num w:numId="8">
    <w:abstractNumId w:val="4"/>
  </w:num>
  <w:num w:numId="9">
    <w:abstractNumId w:val="30"/>
  </w:num>
  <w:num w:numId="10">
    <w:abstractNumId w:val="28"/>
  </w:num>
  <w:num w:numId="11">
    <w:abstractNumId w:val="7"/>
  </w:num>
  <w:num w:numId="12">
    <w:abstractNumId w:val="1"/>
  </w:num>
  <w:num w:numId="13">
    <w:abstractNumId w:val="12"/>
  </w:num>
  <w:num w:numId="14">
    <w:abstractNumId w:val="35"/>
  </w:num>
  <w:num w:numId="15">
    <w:abstractNumId w:val="36"/>
  </w:num>
  <w:num w:numId="16">
    <w:abstractNumId w:val="10"/>
  </w:num>
  <w:num w:numId="17">
    <w:abstractNumId w:val="9"/>
  </w:num>
  <w:num w:numId="18">
    <w:abstractNumId w:val="14"/>
  </w:num>
  <w:num w:numId="19">
    <w:abstractNumId w:val="40"/>
  </w:num>
  <w:num w:numId="20">
    <w:abstractNumId w:val="19"/>
  </w:num>
  <w:num w:numId="21">
    <w:abstractNumId w:val="39"/>
  </w:num>
  <w:num w:numId="22">
    <w:abstractNumId w:val="29"/>
  </w:num>
  <w:num w:numId="23">
    <w:abstractNumId w:val="31"/>
  </w:num>
  <w:num w:numId="24">
    <w:abstractNumId w:val="33"/>
  </w:num>
  <w:num w:numId="25">
    <w:abstractNumId w:val="16"/>
  </w:num>
  <w:num w:numId="26">
    <w:abstractNumId w:val="3"/>
  </w:num>
  <w:num w:numId="27">
    <w:abstractNumId w:val="17"/>
  </w:num>
  <w:num w:numId="2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3"/>
  </w:num>
  <w:num w:numId="33">
    <w:abstractNumId w:val="21"/>
  </w:num>
  <w:num w:numId="34">
    <w:abstractNumId w:val="11"/>
  </w:num>
  <w:num w:numId="35">
    <w:abstractNumId w:val="20"/>
  </w:num>
  <w:num w:numId="36">
    <w:abstractNumId w:val="34"/>
  </w:num>
  <w:num w:numId="37">
    <w:abstractNumId w:val="32"/>
  </w:num>
  <w:num w:numId="38">
    <w:abstractNumId w:val="26"/>
  </w:num>
  <w:num w:numId="39">
    <w:abstractNumId w:val="37"/>
  </w:num>
  <w:num w:numId="40">
    <w:abstractNumId w:val="22"/>
  </w:num>
  <w:num w:numId="41">
    <w:abstractNumId w:val="18"/>
  </w:num>
  <w:num w:numId="42">
    <w:abstractNumId w:val="2"/>
  </w:num>
  <w:num w:numId="43">
    <w:abstractNumId w:val="15"/>
  </w:num>
  <w:num w:numId="4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Full" w:cryptAlgorithmClass="hash" w:cryptAlgorithmType="typeAny" w:cryptAlgorithmSid="4" w:cryptSpinCount="100000" w:hash="k7vGPEBIyvlbbaqK74UQIqFZYno=" w:salt="DiD9Tm1hMry6+qcc4f3vv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11E"/>
    <w:rsid w:val="000033B4"/>
    <w:rsid w:val="00004E12"/>
    <w:rsid w:val="00007F6E"/>
    <w:rsid w:val="00010CDF"/>
    <w:rsid w:val="00011FB7"/>
    <w:rsid w:val="000129F5"/>
    <w:rsid w:val="0001792A"/>
    <w:rsid w:val="000200C3"/>
    <w:rsid w:val="000208DB"/>
    <w:rsid w:val="00026DCD"/>
    <w:rsid w:val="00031241"/>
    <w:rsid w:val="00031310"/>
    <w:rsid w:val="00032028"/>
    <w:rsid w:val="00033AAE"/>
    <w:rsid w:val="00033BE2"/>
    <w:rsid w:val="00034CC4"/>
    <w:rsid w:val="00035726"/>
    <w:rsid w:val="000406B4"/>
    <w:rsid w:val="0004340C"/>
    <w:rsid w:val="00043F06"/>
    <w:rsid w:val="000449D7"/>
    <w:rsid w:val="000477FB"/>
    <w:rsid w:val="00047E27"/>
    <w:rsid w:val="00052ABC"/>
    <w:rsid w:val="00053608"/>
    <w:rsid w:val="00054CF7"/>
    <w:rsid w:val="00057E6A"/>
    <w:rsid w:val="00057FAE"/>
    <w:rsid w:val="00060BD5"/>
    <w:rsid w:val="00061C5D"/>
    <w:rsid w:val="00062AF1"/>
    <w:rsid w:val="00063442"/>
    <w:rsid w:val="00063AF5"/>
    <w:rsid w:val="00072310"/>
    <w:rsid w:val="00074916"/>
    <w:rsid w:val="00075513"/>
    <w:rsid w:val="00082393"/>
    <w:rsid w:val="00083366"/>
    <w:rsid w:val="00086252"/>
    <w:rsid w:val="0008703F"/>
    <w:rsid w:val="00092475"/>
    <w:rsid w:val="00095749"/>
    <w:rsid w:val="00095A62"/>
    <w:rsid w:val="00095B2E"/>
    <w:rsid w:val="000965BF"/>
    <w:rsid w:val="000A1F1D"/>
    <w:rsid w:val="000B0644"/>
    <w:rsid w:val="000B3F58"/>
    <w:rsid w:val="000B5910"/>
    <w:rsid w:val="000B5DD0"/>
    <w:rsid w:val="000B7139"/>
    <w:rsid w:val="000B7CE1"/>
    <w:rsid w:val="000C1D2E"/>
    <w:rsid w:val="000C2103"/>
    <w:rsid w:val="000C2EB0"/>
    <w:rsid w:val="000C3078"/>
    <w:rsid w:val="000C3B97"/>
    <w:rsid w:val="000C631A"/>
    <w:rsid w:val="000C6DD2"/>
    <w:rsid w:val="000D06EC"/>
    <w:rsid w:val="000D0A7D"/>
    <w:rsid w:val="000D3E2B"/>
    <w:rsid w:val="000D4BA0"/>
    <w:rsid w:val="000D6B7D"/>
    <w:rsid w:val="000E1516"/>
    <w:rsid w:val="000E3EDE"/>
    <w:rsid w:val="000E5EDF"/>
    <w:rsid w:val="000F160F"/>
    <w:rsid w:val="000F3E9D"/>
    <w:rsid w:val="000F64F8"/>
    <w:rsid w:val="000F695B"/>
    <w:rsid w:val="000F6C4F"/>
    <w:rsid w:val="000F6F7F"/>
    <w:rsid w:val="000F70E6"/>
    <w:rsid w:val="00101E5B"/>
    <w:rsid w:val="0010357B"/>
    <w:rsid w:val="0010439F"/>
    <w:rsid w:val="001053D7"/>
    <w:rsid w:val="00107A77"/>
    <w:rsid w:val="00113055"/>
    <w:rsid w:val="00113124"/>
    <w:rsid w:val="00114221"/>
    <w:rsid w:val="00121D2A"/>
    <w:rsid w:val="00124992"/>
    <w:rsid w:val="00124F0E"/>
    <w:rsid w:val="00125095"/>
    <w:rsid w:val="00126481"/>
    <w:rsid w:val="0013013B"/>
    <w:rsid w:val="001305C0"/>
    <w:rsid w:val="001323B1"/>
    <w:rsid w:val="00132613"/>
    <w:rsid w:val="00133E24"/>
    <w:rsid w:val="001405B1"/>
    <w:rsid w:val="00140EA0"/>
    <w:rsid w:val="00142F77"/>
    <w:rsid w:val="00143577"/>
    <w:rsid w:val="0014597A"/>
    <w:rsid w:val="001506BA"/>
    <w:rsid w:val="00151798"/>
    <w:rsid w:val="001527E2"/>
    <w:rsid w:val="00154FB4"/>
    <w:rsid w:val="00155FA3"/>
    <w:rsid w:val="00160FA8"/>
    <w:rsid w:val="00161CD6"/>
    <w:rsid w:val="001631C0"/>
    <w:rsid w:val="001646A8"/>
    <w:rsid w:val="001674C6"/>
    <w:rsid w:val="0017234D"/>
    <w:rsid w:val="00173652"/>
    <w:rsid w:val="00173D01"/>
    <w:rsid w:val="00174289"/>
    <w:rsid w:val="0017538B"/>
    <w:rsid w:val="001818CA"/>
    <w:rsid w:val="00184C1D"/>
    <w:rsid w:val="00185C11"/>
    <w:rsid w:val="00185EEC"/>
    <w:rsid w:val="00191C7D"/>
    <w:rsid w:val="00192C61"/>
    <w:rsid w:val="00192F72"/>
    <w:rsid w:val="001943C0"/>
    <w:rsid w:val="00196F61"/>
    <w:rsid w:val="00197240"/>
    <w:rsid w:val="001A1752"/>
    <w:rsid w:val="001A1C95"/>
    <w:rsid w:val="001A3DB3"/>
    <w:rsid w:val="001A4565"/>
    <w:rsid w:val="001A5BBF"/>
    <w:rsid w:val="001A5ECA"/>
    <w:rsid w:val="001A714A"/>
    <w:rsid w:val="001B0385"/>
    <w:rsid w:val="001B154C"/>
    <w:rsid w:val="001C1C8C"/>
    <w:rsid w:val="001C247E"/>
    <w:rsid w:val="001C433B"/>
    <w:rsid w:val="001C4971"/>
    <w:rsid w:val="001C70CB"/>
    <w:rsid w:val="001D2F18"/>
    <w:rsid w:val="001D525A"/>
    <w:rsid w:val="001D5B4D"/>
    <w:rsid w:val="001D77B3"/>
    <w:rsid w:val="001E1275"/>
    <w:rsid w:val="001E427C"/>
    <w:rsid w:val="001E5D06"/>
    <w:rsid w:val="001E610B"/>
    <w:rsid w:val="001E7C2C"/>
    <w:rsid w:val="001F683D"/>
    <w:rsid w:val="001F6F39"/>
    <w:rsid w:val="0020112E"/>
    <w:rsid w:val="002021C8"/>
    <w:rsid w:val="0020442F"/>
    <w:rsid w:val="002062AA"/>
    <w:rsid w:val="0021096B"/>
    <w:rsid w:val="00210BC3"/>
    <w:rsid w:val="0022276B"/>
    <w:rsid w:val="002247F7"/>
    <w:rsid w:val="00224960"/>
    <w:rsid w:val="002301D4"/>
    <w:rsid w:val="00233CB7"/>
    <w:rsid w:val="002369D8"/>
    <w:rsid w:val="00237668"/>
    <w:rsid w:val="00240086"/>
    <w:rsid w:val="0024024C"/>
    <w:rsid w:val="00240C1B"/>
    <w:rsid w:val="00241526"/>
    <w:rsid w:val="00243F74"/>
    <w:rsid w:val="002511F3"/>
    <w:rsid w:val="00251DF4"/>
    <w:rsid w:val="00251F6C"/>
    <w:rsid w:val="0025317A"/>
    <w:rsid w:val="0025335C"/>
    <w:rsid w:val="0025560B"/>
    <w:rsid w:val="00256AC9"/>
    <w:rsid w:val="00257353"/>
    <w:rsid w:val="00261D8D"/>
    <w:rsid w:val="0026236E"/>
    <w:rsid w:val="00263193"/>
    <w:rsid w:val="002651E4"/>
    <w:rsid w:val="00265434"/>
    <w:rsid w:val="0026553E"/>
    <w:rsid w:val="00266599"/>
    <w:rsid w:val="0026697F"/>
    <w:rsid w:val="00267D3C"/>
    <w:rsid w:val="002700BF"/>
    <w:rsid w:val="0027039F"/>
    <w:rsid w:val="002713F4"/>
    <w:rsid w:val="00272C95"/>
    <w:rsid w:val="002742DB"/>
    <w:rsid w:val="00275142"/>
    <w:rsid w:val="00275225"/>
    <w:rsid w:val="002758A3"/>
    <w:rsid w:val="002760EE"/>
    <w:rsid w:val="002830CB"/>
    <w:rsid w:val="002831D7"/>
    <w:rsid w:val="00284630"/>
    <w:rsid w:val="00284E0C"/>
    <w:rsid w:val="00286B32"/>
    <w:rsid w:val="0028731F"/>
    <w:rsid w:val="0028793E"/>
    <w:rsid w:val="00292EB0"/>
    <w:rsid w:val="002972CB"/>
    <w:rsid w:val="002A0025"/>
    <w:rsid w:val="002A29E1"/>
    <w:rsid w:val="002A534F"/>
    <w:rsid w:val="002A6D8E"/>
    <w:rsid w:val="002B25B4"/>
    <w:rsid w:val="002B439F"/>
    <w:rsid w:val="002B497A"/>
    <w:rsid w:val="002C0E05"/>
    <w:rsid w:val="002C2FE0"/>
    <w:rsid w:val="002C3652"/>
    <w:rsid w:val="002C368B"/>
    <w:rsid w:val="002C5FE8"/>
    <w:rsid w:val="002C7267"/>
    <w:rsid w:val="002C7677"/>
    <w:rsid w:val="002C7D76"/>
    <w:rsid w:val="002D03AF"/>
    <w:rsid w:val="002D2949"/>
    <w:rsid w:val="002D3235"/>
    <w:rsid w:val="002D4B13"/>
    <w:rsid w:val="002D4B50"/>
    <w:rsid w:val="002D5C8C"/>
    <w:rsid w:val="002D6545"/>
    <w:rsid w:val="002D74E6"/>
    <w:rsid w:val="002D7631"/>
    <w:rsid w:val="002E0CA9"/>
    <w:rsid w:val="002E1442"/>
    <w:rsid w:val="002E150A"/>
    <w:rsid w:val="002E1729"/>
    <w:rsid w:val="002E398F"/>
    <w:rsid w:val="002E4BF7"/>
    <w:rsid w:val="002E555F"/>
    <w:rsid w:val="002E6D0A"/>
    <w:rsid w:val="002E7A82"/>
    <w:rsid w:val="002F0D0F"/>
    <w:rsid w:val="002F3C99"/>
    <w:rsid w:val="00301F77"/>
    <w:rsid w:val="00302088"/>
    <w:rsid w:val="0031098A"/>
    <w:rsid w:val="00310E09"/>
    <w:rsid w:val="00311873"/>
    <w:rsid w:val="0031657F"/>
    <w:rsid w:val="00317C24"/>
    <w:rsid w:val="00320D0D"/>
    <w:rsid w:val="00321A1D"/>
    <w:rsid w:val="00321DAB"/>
    <w:rsid w:val="003229B5"/>
    <w:rsid w:val="00322FA0"/>
    <w:rsid w:val="00327137"/>
    <w:rsid w:val="00330965"/>
    <w:rsid w:val="00330BD8"/>
    <w:rsid w:val="0034192E"/>
    <w:rsid w:val="00343315"/>
    <w:rsid w:val="0034539D"/>
    <w:rsid w:val="00345631"/>
    <w:rsid w:val="00345CAA"/>
    <w:rsid w:val="00345D02"/>
    <w:rsid w:val="00346013"/>
    <w:rsid w:val="003465AA"/>
    <w:rsid w:val="00347531"/>
    <w:rsid w:val="003511E2"/>
    <w:rsid w:val="0035321C"/>
    <w:rsid w:val="0035521E"/>
    <w:rsid w:val="00356109"/>
    <w:rsid w:val="00360E75"/>
    <w:rsid w:val="00361918"/>
    <w:rsid w:val="00362CB3"/>
    <w:rsid w:val="00364667"/>
    <w:rsid w:val="00371AA6"/>
    <w:rsid w:val="003723BA"/>
    <w:rsid w:val="0037324F"/>
    <w:rsid w:val="0037358D"/>
    <w:rsid w:val="00373617"/>
    <w:rsid w:val="003777EF"/>
    <w:rsid w:val="0038194B"/>
    <w:rsid w:val="00381E22"/>
    <w:rsid w:val="0038278A"/>
    <w:rsid w:val="003827E8"/>
    <w:rsid w:val="00387516"/>
    <w:rsid w:val="00387756"/>
    <w:rsid w:val="003906B6"/>
    <w:rsid w:val="003933A9"/>
    <w:rsid w:val="0039378F"/>
    <w:rsid w:val="0039406D"/>
    <w:rsid w:val="003960FD"/>
    <w:rsid w:val="003A030B"/>
    <w:rsid w:val="003A091E"/>
    <w:rsid w:val="003A0B22"/>
    <w:rsid w:val="003A71CE"/>
    <w:rsid w:val="003A792A"/>
    <w:rsid w:val="003B2BE7"/>
    <w:rsid w:val="003B2C67"/>
    <w:rsid w:val="003B361A"/>
    <w:rsid w:val="003B4248"/>
    <w:rsid w:val="003B6F77"/>
    <w:rsid w:val="003C1F85"/>
    <w:rsid w:val="003C209B"/>
    <w:rsid w:val="003C3044"/>
    <w:rsid w:val="003C5823"/>
    <w:rsid w:val="003C6A22"/>
    <w:rsid w:val="003C7B24"/>
    <w:rsid w:val="003D4DCA"/>
    <w:rsid w:val="003D7750"/>
    <w:rsid w:val="003E18DA"/>
    <w:rsid w:val="003E1A1C"/>
    <w:rsid w:val="003E1D24"/>
    <w:rsid w:val="003E480F"/>
    <w:rsid w:val="003F1FD8"/>
    <w:rsid w:val="003F73E3"/>
    <w:rsid w:val="00404C44"/>
    <w:rsid w:val="00405780"/>
    <w:rsid w:val="00405F00"/>
    <w:rsid w:val="00406CDC"/>
    <w:rsid w:val="00410EF3"/>
    <w:rsid w:val="00411240"/>
    <w:rsid w:val="00411BBD"/>
    <w:rsid w:val="00412BD0"/>
    <w:rsid w:val="00413BD9"/>
    <w:rsid w:val="004146A7"/>
    <w:rsid w:val="004149E8"/>
    <w:rsid w:val="004153A6"/>
    <w:rsid w:val="00415881"/>
    <w:rsid w:val="004175DF"/>
    <w:rsid w:val="00420EF5"/>
    <w:rsid w:val="004238DD"/>
    <w:rsid w:val="00423F4F"/>
    <w:rsid w:val="004254FF"/>
    <w:rsid w:val="004276CC"/>
    <w:rsid w:val="00432B2F"/>
    <w:rsid w:val="00435F49"/>
    <w:rsid w:val="00436B73"/>
    <w:rsid w:val="004428AD"/>
    <w:rsid w:val="0044447A"/>
    <w:rsid w:val="00444B04"/>
    <w:rsid w:val="004525F3"/>
    <w:rsid w:val="00452DB6"/>
    <w:rsid w:val="00453B59"/>
    <w:rsid w:val="004553F0"/>
    <w:rsid w:val="00456E3D"/>
    <w:rsid w:val="00462855"/>
    <w:rsid w:val="00463150"/>
    <w:rsid w:val="0046356D"/>
    <w:rsid w:val="0046413A"/>
    <w:rsid w:val="00465EF4"/>
    <w:rsid w:val="00470BB7"/>
    <w:rsid w:val="00472214"/>
    <w:rsid w:val="00474F3D"/>
    <w:rsid w:val="00475200"/>
    <w:rsid w:val="0047619C"/>
    <w:rsid w:val="0047640F"/>
    <w:rsid w:val="00480032"/>
    <w:rsid w:val="0048168F"/>
    <w:rsid w:val="00481822"/>
    <w:rsid w:val="0048187A"/>
    <w:rsid w:val="00482EE4"/>
    <w:rsid w:val="00485305"/>
    <w:rsid w:val="00485CE1"/>
    <w:rsid w:val="00487FF6"/>
    <w:rsid w:val="004905A0"/>
    <w:rsid w:val="00490649"/>
    <w:rsid w:val="004918A0"/>
    <w:rsid w:val="004923FE"/>
    <w:rsid w:val="0049267A"/>
    <w:rsid w:val="00492B3C"/>
    <w:rsid w:val="00493F2A"/>
    <w:rsid w:val="004946D2"/>
    <w:rsid w:val="00494867"/>
    <w:rsid w:val="00496568"/>
    <w:rsid w:val="004971D8"/>
    <w:rsid w:val="004A0172"/>
    <w:rsid w:val="004A13A0"/>
    <w:rsid w:val="004A2A45"/>
    <w:rsid w:val="004A3A39"/>
    <w:rsid w:val="004B0AD3"/>
    <w:rsid w:val="004B2FA6"/>
    <w:rsid w:val="004B40FD"/>
    <w:rsid w:val="004B6E90"/>
    <w:rsid w:val="004B70B6"/>
    <w:rsid w:val="004B7857"/>
    <w:rsid w:val="004C0DE7"/>
    <w:rsid w:val="004C2998"/>
    <w:rsid w:val="004C2D3C"/>
    <w:rsid w:val="004C3F77"/>
    <w:rsid w:val="004C57A5"/>
    <w:rsid w:val="004C6943"/>
    <w:rsid w:val="004C6C5F"/>
    <w:rsid w:val="004D1E0E"/>
    <w:rsid w:val="004D2A2D"/>
    <w:rsid w:val="004D5E70"/>
    <w:rsid w:val="004D7F9A"/>
    <w:rsid w:val="004E14A2"/>
    <w:rsid w:val="004E1A30"/>
    <w:rsid w:val="004E64F1"/>
    <w:rsid w:val="004E7B88"/>
    <w:rsid w:val="004F05F6"/>
    <w:rsid w:val="004F53F2"/>
    <w:rsid w:val="004F58E2"/>
    <w:rsid w:val="004F5D81"/>
    <w:rsid w:val="004F5E1F"/>
    <w:rsid w:val="004F616F"/>
    <w:rsid w:val="004F6612"/>
    <w:rsid w:val="004F69DF"/>
    <w:rsid w:val="00501A14"/>
    <w:rsid w:val="005021A1"/>
    <w:rsid w:val="00502387"/>
    <w:rsid w:val="005030F3"/>
    <w:rsid w:val="0050463F"/>
    <w:rsid w:val="00504DCD"/>
    <w:rsid w:val="00506A6B"/>
    <w:rsid w:val="00512B5E"/>
    <w:rsid w:val="00512B84"/>
    <w:rsid w:val="005147E6"/>
    <w:rsid w:val="005201E3"/>
    <w:rsid w:val="005221A7"/>
    <w:rsid w:val="00522E04"/>
    <w:rsid w:val="0052487D"/>
    <w:rsid w:val="00525B59"/>
    <w:rsid w:val="00530A39"/>
    <w:rsid w:val="00530E8B"/>
    <w:rsid w:val="005355F2"/>
    <w:rsid w:val="00535A96"/>
    <w:rsid w:val="00537E2C"/>
    <w:rsid w:val="005409E9"/>
    <w:rsid w:val="00540E80"/>
    <w:rsid w:val="00546611"/>
    <w:rsid w:val="0055088D"/>
    <w:rsid w:val="00551937"/>
    <w:rsid w:val="00552398"/>
    <w:rsid w:val="0055248A"/>
    <w:rsid w:val="00552C3C"/>
    <w:rsid w:val="005532A0"/>
    <w:rsid w:val="00553366"/>
    <w:rsid w:val="00556F24"/>
    <w:rsid w:val="00557D5D"/>
    <w:rsid w:val="00562EF7"/>
    <w:rsid w:val="00565130"/>
    <w:rsid w:val="005675E5"/>
    <w:rsid w:val="0057068E"/>
    <w:rsid w:val="00570A62"/>
    <w:rsid w:val="0057342F"/>
    <w:rsid w:val="00576979"/>
    <w:rsid w:val="00577B39"/>
    <w:rsid w:val="005829D0"/>
    <w:rsid w:val="00583409"/>
    <w:rsid w:val="00583860"/>
    <w:rsid w:val="00585814"/>
    <w:rsid w:val="0059043B"/>
    <w:rsid w:val="005921E9"/>
    <w:rsid w:val="0059293A"/>
    <w:rsid w:val="00592F25"/>
    <w:rsid w:val="00593D69"/>
    <w:rsid w:val="00596278"/>
    <w:rsid w:val="00596882"/>
    <w:rsid w:val="00597948"/>
    <w:rsid w:val="005A0ED0"/>
    <w:rsid w:val="005A1AB4"/>
    <w:rsid w:val="005A4382"/>
    <w:rsid w:val="005A5E49"/>
    <w:rsid w:val="005A6BEA"/>
    <w:rsid w:val="005A75BD"/>
    <w:rsid w:val="005B0801"/>
    <w:rsid w:val="005B1D2E"/>
    <w:rsid w:val="005B426B"/>
    <w:rsid w:val="005B7A56"/>
    <w:rsid w:val="005C2A5D"/>
    <w:rsid w:val="005C31A7"/>
    <w:rsid w:val="005C462E"/>
    <w:rsid w:val="005C477E"/>
    <w:rsid w:val="005C609D"/>
    <w:rsid w:val="005D0D4A"/>
    <w:rsid w:val="005D0F49"/>
    <w:rsid w:val="005D116C"/>
    <w:rsid w:val="005D3C77"/>
    <w:rsid w:val="005D3E4F"/>
    <w:rsid w:val="005D4DBE"/>
    <w:rsid w:val="005E0471"/>
    <w:rsid w:val="005E1327"/>
    <w:rsid w:val="005E1A4E"/>
    <w:rsid w:val="005E1EAC"/>
    <w:rsid w:val="005E317A"/>
    <w:rsid w:val="005E3984"/>
    <w:rsid w:val="005E4121"/>
    <w:rsid w:val="005E4552"/>
    <w:rsid w:val="005E4D73"/>
    <w:rsid w:val="005E716D"/>
    <w:rsid w:val="005E7792"/>
    <w:rsid w:val="005F622C"/>
    <w:rsid w:val="005F6ABE"/>
    <w:rsid w:val="005F7A8D"/>
    <w:rsid w:val="005F7D5E"/>
    <w:rsid w:val="00603021"/>
    <w:rsid w:val="00603FB7"/>
    <w:rsid w:val="00606312"/>
    <w:rsid w:val="0061082F"/>
    <w:rsid w:val="00612B6A"/>
    <w:rsid w:val="00614A6B"/>
    <w:rsid w:val="0062054F"/>
    <w:rsid w:val="00620DA1"/>
    <w:rsid w:val="0062342C"/>
    <w:rsid w:val="00625D4E"/>
    <w:rsid w:val="00626A15"/>
    <w:rsid w:val="006307FF"/>
    <w:rsid w:val="00633079"/>
    <w:rsid w:val="00633D1E"/>
    <w:rsid w:val="00636DCB"/>
    <w:rsid w:val="00637348"/>
    <w:rsid w:val="00637A35"/>
    <w:rsid w:val="00637AA1"/>
    <w:rsid w:val="00637DC1"/>
    <w:rsid w:val="00640069"/>
    <w:rsid w:val="006401E2"/>
    <w:rsid w:val="00642067"/>
    <w:rsid w:val="00642A9F"/>
    <w:rsid w:val="00644020"/>
    <w:rsid w:val="006470F0"/>
    <w:rsid w:val="00651FB0"/>
    <w:rsid w:val="00652F26"/>
    <w:rsid w:val="00654801"/>
    <w:rsid w:val="006563CC"/>
    <w:rsid w:val="00657ABE"/>
    <w:rsid w:val="00660136"/>
    <w:rsid w:val="006603B7"/>
    <w:rsid w:val="006604DE"/>
    <w:rsid w:val="00661937"/>
    <w:rsid w:val="00665807"/>
    <w:rsid w:val="00666F0A"/>
    <w:rsid w:val="006671A6"/>
    <w:rsid w:val="006676EF"/>
    <w:rsid w:val="006702A4"/>
    <w:rsid w:val="0067208A"/>
    <w:rsid w:val="0067594B"/>
    <w:rsid w:val="006817F9"/>
    <w:rsid w:val="00681C14"/>
    <w:rsid w:val="006826FC"/>
    <w:rsid w:val="00683C1B"/>
    <w:rsid w:val="00685BDF"/>
    <w:rsid w:val="00685E5C"/>
    <w:rsid w:val="00686BDD"/>
    <w:rsid w:val="00692657"/>
    <w:rsid w:val="00693296"/>
    <w:rsid w:val="00695E5D"/>
    <w:rsid w:val="00696062"/>
    <w:rsid w:val="00696857"/>
    <w:rsid w:val="00696AC8"/>
    <w:rsid w:val="00697871"/>
    <w:rsid w:val="00697EB6"/>
    <w:rsid w:val="006A0FF8"/>
    <w:rsid w:val="006A42BF"/>
    <w:rsid w:val="006A491F"/>
    <w:rsid w:val="006A52AB"/>
    <w:rsid w:val="006A5B14"/>
    <w:rsid w:val="006A6435"/>
    <w:rsid w:val="006A6B77"/>
    <w:rsid w:val="006B13AE"/>
    <w:rsid w:val="006B24D4"/>
    <w:rsid w:val="006B3222"/>
    <w:rsid w:val="006B4928"/>
    <w:rsid w:val="006B50B2"/>
    <w:rsid w:val="006B5A4D"/>
    <w:rsid w:val="006B7344"/>
    <w:rsid w:val="006C0F48"/>
    <w:rsid w:val="006C23BD"/>
    <w:rsid w:val="006C36E0"/>
    <w:rsid w:val="006C66E6"/>
    <w:rsid w:val="006C7E5E"/>
    <w:rsid w:val="006D0426"/>
    <w:rsid w:val="006D042E"/>
    <w:rsid w:val="006D05DC"/>
    <w:rsid w:val="006D0BEB"/>
    <w:rsid w:val="006D1D04"/>
    <w:rsid w:val="006D47ED"/>
    <w:rsid w:val="006D66F0"/>
    <w:rsid w:val="006D6974"/>
    <w:rsid w:val="006D76E0"/>
    <w:rsid w:val="006E32D8"/>
    <w:rsid w:val="006E4DB6"/>
    <w:rsid w:val="006E5298"/>
    <w:rsid w:val="006E5D3D"/>
    <w:rsid w:val="006E5F3C"/>
    <w:rsid w:val="006E6234"/>
    <w:rsid w:val="006E66DA"/>
    <w:rsid w:val="006F3748"/>
    <w:rsid w:val="006F4445"/>
    <w:rsid w:val="006F484C"/>
    <w:rsid w:val="006F5E59"/>
    <w:rsid w:val="006F7C4B"/>
    <w:rsid w:val="007006FD"/>
    <w:rsid w:val="00701D51"/>
    <w:rsid w:val="00701D63"/>
    <w:rsid w:val="00701E15"/>
    <w:rsid w:val="00702FF4"/>
    <w:rsid w:val="007034DF"/>
    <w:rsid w:val="00704345"/>
    <w:rsid w:val="0070436E"/>
    <w:rsid w:val="00707F02"/>
    <w:rsid w:val="0071069A"/>
    <w:rsid w:val="00711076"/>
    <w:rsid w:val="007115B0"/>
    <w:rsid w:val="0071212A"/>
    <w:rsid w:val="0071260D"/>
    <w:rsid w:val="00712A04"/>
    <w:rsid w:val="0071517F"/>
    <w:rsid w:val="00725F4A"/>
    <w:rsid w:val="0072608E"/>
    <w:rsid w:val="00726655"/>
    <w:rsid w:val="00731B2E"/>
    <w:rsid w:val="00733670"/>
    <w:rsid w:val="00734523"/>
    <w:rsid w:val="007367CF"/>
    <w:rsid w:val="00737B7C"/>
    <w:rsid w:val="00737D74"/>
    <w:rsid w:val="00741AFA"/>
    <w:rsid w:val="00742652"/>
    <w:rsid w:val="0074361F"/>
    <w:rsid w:val="00743EE8"/>
    <w:rsid w:val="00744067"/>
    <w:rsid w:val="007445C7"/>
    <w:rsid w:val="00746583"/>
    <w:rsid w:val="00746FE6"/>
    <w:rsid w:val="00747614"/>
    <w:rsid w:val="00747716"/>
    <w:rsid w:val="00753379"/>
    <w:rsid w:val="007539A1"/>
    <w:rsid w:val="007541A1"/>
    <w:rsid w:val="007548FD"/>
    <w:rsid w:val="007559E6"/>
    <w:rsid w:val="007578E8"/>
    <w:rsid w:val="0076059C"/>
    <w:rsid w:val="00761399"/>
    <w:rsid w:val="00761E83"/>
    <w:rsid w:val="00764BBC"/>
    <w:rsid w:val="00767CF6"/>
    <w:rsid w:val="0077130C"/>
    <w:rsid w:val="00771BF7"/>
    <w:rsid w:val="00772C3B"/>
    <w:rsid w:val="00772E41"/>
    <w:rsid w:val="00772F87"/>
    <w:rsid w:val="00773B91"/>
    <w:rsid w:val="00773EFA"/>
    <w:rsid w:val="007763F3"/>
    <w:rsid w:val="00777A3B"/>
    <w:rsid w:val="00780169"/>
    <w:rsid w:val="00786D81"/>
    <w:rsid w:val="00787D24"/>
    <w:rsid w:val="0079041A"/>
    <w:rsid w:val="0079292A"/>
    <w:rsid w:val="0079473D"/>
    <w:rsid w:val="00794D64"/>
    <w:rsid w:val="007A0C61"/>
    <w:rsid w:val="007A1603"/>
    <w:rsid w:val="007A1EFC"/>
    <w:rsid w:val="007A4757"/>
    <w:rsid w:val="007A5E7E"/>
    <w:rsid w:val="007B0338"/>
    <w:rsid w:val="007B0B2C"/>
    <w:rsid w:val="007B4810"/>
    <w:rsid w:val="007B4B2C"/>
    <w:rsid w:val="007B6564"/>
    <w:rsid w:val="007C0241"/>
    <w:rsid w:val="007C0566"/>
    <w:rsid w:val="007C076F"/>
    <w:rsid w:val="007C0C39"/>
    <w:rsid w:val="007C3704"/>
    <w:rsid w:val="007C3A64"/>
    <w:rsid w:val="007C6929"/>
    <w:rsid w:val="007D048B"/>
    <w:rsid w:val="007D13F7"/>
    <w:rsid w:val="007D2CDD"/>
    <w:rsid w:val="007D3137"/>
    <w:rsid w:val="007D3EBE"/>
    <w:rsid w:val="007D3F91"/>
    <w:rsid w:val="007D465D"/>
    <w:rsid w:val="007D5990"/>
    <w:rsid w:val="007D5DD7"/>
    <w:rsid w:val="007D7A17"/>
    <w:rsid w:val="007E0991"/>
    <w:rsid w:val="007E3122"/>
    <w:rsid w:val="007E4E53"/>
    <w:rsid w:val="007E710B"/>
    <w:rsid w:val="007F017F"/>
    <w:rsid w:val="007F330D"/>
    <w:rsid w:val="0080141A"/>
    <w:rsid w:val="0080181E"/>
    <w:rsid w:val="00801BF9"/>
    <w:rsid w:val="00802CA7"/>
    <w:rsid w:val="008105CB"/>
    <w:rsid w:val="00810AA7"/>
    <w:rsid w:val="00811971"/>
    <w:rsid w:val="00812CA3"/>
    <w:rsid w:val="0081331A"/>
    <w:rsid w:val="008136E4"/>
    <w:rsid w:val="00815180"/>
    <w:rsid w:val="00816B83"/>
    <w:rsid w:val="00820BFF"/>
    <w:rsid w:val="00821D3C"/>
    <w:rsid w:val="0082431B"/>
    <w:rsid w:val="00825DE9"/>
    <w:rsid w:val="0082785E"/>
    <w:rsid w:val="00830C2B"/>
    <w:rsid w:val="0083552C"/>
    <w:rsid w:val="00836CEE"/>
    <w:rsid w:val="00836D56"/>
    <w:rsid w:val="00836F98"/>
    <w:rsid w:val="00837636"/>
    <w:rsid w:val="0084004E"/>
    <w:rsid w:val="00844EE4"/>
    <w:rsid w:val="00845B15"/>
    <w:rsid w:val="0084758E"/>
    <w:rsid w:val="00850156"/>
    <w:rsid w:val="00850C89"/>
    <w:rsid w:val="008529B4"/>
    <w:rsid w:val="00852CEB"/>
    <w:rsid w:val="00854DE6"/>
    <w:rsid w:val="008574DA"/>
    <w:rsid w:val="00862AD8"/>
    <w:rsid w:val="00862BAE"/>
    <w:rsid w:val="00866232"/>
    <w:rsid w:val="0086676E"/>
    <w:rsid w:val="008727C8"/>
    <w:rsid w:val="0087502C"/>
    <w:rsid w:val="00877DEE"/>
    <w:rsid w:val="00881D92"/>
    <w:rsid w:val="00887E3C"/>
    <w:rsid w:val="00892711"/>
    <w:rsid w:val="0089299A"/>
    <w:rsid w:val="008943D0"/>
    <w:rsid w:val="00895F99"/>
    <w:rsid w:val="00897DF2"/>
    <w:rsid w:val="008A12F3"/>
    <w:rsid w:val="008A352E"/>
    <w:rsid w:val="008A3AD2"/>
    <w:rsid w:val="008A570C"/>
    <w:rsid w:val="008A7610"/>
    <w:rsid w:val="008B0FCE"/>
    <w:rsid w:val="008B1FBA"/>
    <w:rsid w:val="008B2999"/>
    <w:rsid w:val="008B2FDE"/>
    <w:rsid w:val="008B615C"/>
    <w:rsid w:val="008B6792"/>
    <w:rsid w:val="008C4B8E"/>
    <w:rsid w:val="008C7B5F"/>
    <w:rsid w:val="008D042E"/>
    <w:rsid w:val="008D1361"/>
    <w:rsid w:val="008D3264"/>
    <w:rsid w:val="008D45A5"/>
    <w:rsid w:val="008D5EA8"/>
    <w:rsid w:val="008D5FEA"/>
    <w:rsid w:val="008E008A"/>
    <w:rsid w:val="008E0E9E"/>
    <w:rsid w:val="008E4E14"/>
    <w:rsid w:val="008E536F"/>
    <w:rsid w:val="008E7A34"/>
    <w:rsid w:val="008F0C83"/>
    <w:rsid w:val="008F0CE2"/>
    <w:rsid w:val="008F1A65"/>
    <w:rsid w:val="008F3FDA"/>
    <w:rsid w:val="008F7994"/>
    <w:rsid w:val="00902705"/>
    <w:rsid w:val="00903F15"/>
    <w:rsid w:val="00904EC0"/>
    <w:rsid w:val="0090580C"/>
    <w:rsid w:val="009059FF"/>
    <w:rsid w:val="00911799"/>
    <w:rsid w:val="00912FBF"/>
    <w:rsid w:val="00915F36"/>
    <w:rsid w:val="00915F4F"/>
    <w:rsid w:val="00915F90"/>
    <w:rsid w:val="00920C8E"/>
    <w:rsid w:val="00923139"/>
    <w:rsid w:val="00923EAA"/>
    <w:rsid w:val="0092729E"/>
    <w:rsid w:val="009301EC"/>
    <w:rsid w:val="00930EA1"/>
    <w:rsid w:val="00931F9C"/>
    <w:rsid w:val="0093246E"/>
    <w:rsid w:val="0093372F"/>
    <w:rsid w:val="0093470E"/>
    <w:rsid w:val="009422BB"/>
    <w:rsid w:val="00943A2C"/>
    <w:rsid w:val="00946D6C"/>
    <w:rsid w:val="0094715C"/>
    <w:rsid w:val="009503F5"/>
    <w:rsid w:val="0095041F"/>
    <w:rsid w:val="00953B4A"/>
    <w:rsid w:val="00953E92"/>
    <w:rsid w:val="00954511"/>
    <w:rsid w:val="00956299"/>
    <w:rsid w:val="009573CC"/>
    <w:rsid w:val="009574B8"/>
    <w:rsid w:val="00960E6A"/>
    <w:rsid w:val="009610B5"/>
    <w:rsid w:val="009611B9"/>
    <w:rsid w:val="009633D3"/>
    <w:rsid w:val="009638B2"/>
    <w:rsid w:val="00963D4B"/>
    <w:rsid w:val="00964B59"/>
    <w:rsid w:val="00965BE6"/>
    <w:rsid w:val="00966737"/>
    <w:rsid w:val="009739D4"/>
    <w:rsid w:val="00977513"/>
    <w:rsid w:val="00980C4C"/>
    <w:rsid w:val="00980D31"/>
    <w:rsid w:val="009811AA"/>
    <w:rsid w:val="00986DC3"/>
    <w:rsid w:val="00987600"/>
    <w:rsid w:val="0099246A"/>
    <w:rsid w:val="0099327C"/>
    <w:rsid w:val="0099386A"/>
    <w:rsid w:val="00996272"/>
    <w:rsid w:val="009A05C8"/>
    <w:rsid w:val="009A147E"/>
    <w:rsid w:val="009A415F"/>
    <w:rsid w:val="009B69E9"/>
    <w:rsid w:val="009B70D7"/>
    <w:rsid w:val="009B7894"/>
    <w:rsid w:val="009C0352"/>
    <w:rsid w:val="009C0840"/>
    <w:rsid w:val="009C127F"/>
    <w:rsid w:val="009C1C15"/>
    <w:rsid w:val="009C2EF2"/>
    <w:rsid w:val="009C4FEA"/>
    <w:rsid w:val="009C5C63"/>
    <w:rsid w:val="009C64A5"/>
    <w:rsid w:val="009C7D72"/>
    <w:rsid w:val="009D04AC"/>
    <w:rsid w:val="009D1CD9"/>
    <w:rsid w:val="009D3242"/>
    <w:rsid w:val="009D4770"/>
    <w:rsid w:val="009D57BE"/>
    <w:rsid w:val="009D5A3E"/>
    <w:rsid w:val="009D5CEE"/>
    <w:rsid w:val="009E0C62"/>
    <w:rsid w:val="009E0CC1"/>
    <w:rsid w:val="009E7CC8"/>
    <w:rsid w:val="009F0EAE"/>
    <w:rsid w:val="009F3E90"/>
    <w:rsid w:val="009F5212"/>
    <w:rsid w:val="009F686E"/>
    <w:rsid w:val="009F687B"/>
    <w:rsid w:val="009F70DD"/>
    <w:rsid w:val="009F75E2"/>
    <w:rsid w:val="00A0305F"/>
    <w:rsid w:val="00A0321C"/>
    <w:rsid w:val="00A047FB"/>
    <w:rsid w:val="00A0494A"/>
    <w:rsid w:val="00A06A38"/>
    <w:rsid w:val="00A126D5"/>
    <w:rsid w:val="00A128C6"/>
    <w:rsid w:val="00A134F6"/>
    <w:rsid w:val="00A14F21"/>
    <w:rsid w:val="00A14F2D"/>
    <w:rsid w:val="00A1549F"/>
    <w:rsid w:val="00A154F9"/>
    <w:rsid w:val="00A15802"/>
    <w:rsid w:val="00A160FE"/>
    <w:rsid w:val="00A17751"/>
    <w:rsid w:val="00A17B17"/>
    <w:rsid w:val="00A20701"/>
    <w:rsid w:val="00A20864"/>
    <w:rsid w:val="00A22F8D"/>
    <w:rsid w:val="00A237A2"/>
    <w:rsid w:val="00A237BE"/>
    <w:rsid w:val="00A33451"/>
    <w:rsid w:val="00A33E14"/>
    <w:rsid w:val="00A4150B"/>
    <w:rsid w:val="00A4475C"/>
    <w:rsid w:val="00A45233"/>
    <w:rsid w:val="00A47BB1"/>
    <w:rsid w:val="00A51C96"/>
    <w:rsid w:val="00A52564"/>
    <w:rsid w:val="00A55D21"/>
    <w:rsid w:val="00A565EC"/>
    <w:rsid w:val="00A56D8C"/>
    <w:rsid w:val="00A61010"/>
    <w:rsid w:val="00A619C9"/>
    <w:rsid w:val="00A63F7B"/>
    <w:rsid w:val="00A6422E"/>
    <w:rsid w:val="00A6539D"/>
    <w:rsid w:val="00A66F0D"/>
    <w:rsid w:val="00A70B30"/>
    <w:rsid w:val="00A71AFF"/>
    <w:rsid w:val="00A72CA7"/>
    <w:rsid w:val="00A7461C"/>
    <w:rsid w:val="00A75AE0"/>
    <w:rsid w:val="00A75DBD"/>
    <w:rsid w:val="00A75EB7"/>
    <w:rsid w:val="00A825E0"/>
    <w:rsid w:val="00A856E2"/>
    <w:rsid w:val="00A85E71"/>
    <w:rsid w:val="00A86498"/>
    <w:rsid w:val="00A869A9"/>
    <w:rsid w:val="00A86FEC"/>
    <w:rsid w:val="00A905E3"/>
    <w:rsid w:val="00A90D9F"/>
    <w:rsid w:val="00A9221A"/>
    <w:rsid w:val="00A94EDE"/>
    <w:rsid w:val="00A95FAF"/>
    <w:rsid w:val="00A96666"/>
    <w:rsid w:val="00AA2748"/>
    <w:rsid w:val="00AA57CE"/>
    <w:rsid w:val="00AA615E"/>
    <w:rsid w:val="00AA715B"/>
    <w:rsid w:val="00AA763E"/>
    <w:rsid w:val="00AC0CDF"/>
    <w:rsid w:val="00AC1486"/>
    <w:rsid w:val="00AC1DDC"/>
    <w:rsid w:val="00AC2003"/>
    <w:rsid w:val="00AC3C91"/>
    <w:rsid w:val="00AC7DCB"/>
    <w:rsid w:val="00AD20F2"/>
    <w:rsid w:val="00AD6CB5"/>
    <w:rsid w:val="00AE1D1A"/>
    <w:rsid w:val="00AE3ED3"/>
    <w:rsid w:val="00AE46ED"/>
    <w:rsid w:val="00AE7CAF"/>
    <w:rsid w:val="00AF0737"/>
    <w:rsid w:val="00AF07E4"/>
    <w:rsid w:val="00AF4BD8"/>
    <w:rsid w:val="00AF6171"/>
    <w:rsid w:val="00AF7DE0"/>
    <w:rsid w:val="00B00662"/>
    <w:rsid w:val="00B0158C"/>
    <w:rsid w:val="00B04A61"/>
    <w:rsid w:val="00B06978"/>
    <w:rsid w:val="00B154FA"/>
    <w:rsid w:val="00B17B4E"/>
    <w:rsid w:val="00B2067B"/>
    <w:rsid w:val="00B23048"/>
    <w:rsid w:val="00B244D4"/>
    <w:rsid w:val="00B2777A"/>
    <w:rsid w:val="00B31138"/>
    <w:rsid w:val="00B32743"/>
    <w:rsid w:val="00B3392B"/>
    <w:rsid w:val="00B340B1"/>
    <w:rsid w:val="00B34C9E"/>
    <w:rsid w:val="00B35876"/>
    <w:rsid w:val="00B35DB8"/>
    <w:rsid w:val="00B36BEC"/>
    <w:rsid w:val="00B37350"/>
    <w:rsid w:val="00B37DBB"/>
    <w:rsid w:val="00B37F4A"/>
    <w:rsid w:val="00B40D0F"/>
    <w:rsid w:val="00B40FB5"/>
    <w:rsid w:val="00B41CF6"/>
    <w:rsid w:val="00B42B76"/>
    <w:rsid w:val="00B42C69"/>
    <w:rsid w:val="00B46578"/>
    <w:rsid w:val="00B4675D"/>
    <w:rsid w:val="00B46C34"/>
    <w:rsid w:val="00B47612"/>
    <w:rsid w:val="00B50B5F"/>
    <w:rsid w:val="00B53D11"/>
    <w:rsid w:val="00B55E9A"/>
    <w:rsid w:val="00B5640B"/>
    <w:rsid w:val="00B57C99"/>
    <w:rsid w:val="00B62E05"/>
    <w:rsid w:val="00B63419"/>
    <w:rsid w:val="00B63466"/>
    <w:rsid w:val="00B642AB"/>
    <w:rsid w:val="00B65451"/>
    <w:rsid w:val="00B7050C"/>
    <w:rsid w:val="00B7448A"/>
    <w:rsid w:val="00B75DD9"/>
    <w:rsid w:val="00B80A33"/>
    <w:rsid w:val="00B80F93"/>
    <w:rsid w:val="00B86D3C"/>
    <w:rsid w:val="00B90351"/>
    <w:rsid w:val="00B9105B"/>
    <w:rsid w:val="00B923DB"/>
    <w:rsid w:val="00B93CA3"/>
    <w:rsid w:val="00B970C7"/>
    <w:rsid w:val="00B974EC"/>
    <w:rsid w:val="00B97B52"/>
    <w:rsid w:val="00B97F40"/>
    <w:rsid w:val="00BA0DF2"/>
    <w:rsid w:val="00BA1A96"/>
    <w:rsid w:val="00BA2190"/>
    <w:rsid w:val="00BA4594"/>
    <w:rsid w:val="00BB185C"/>
    <w:rsid w:val="00BC150E"/>
    <w:rsid w:val="00BC6812"/>
    <w:rsid w:val="00BC6BB1"/>
    <w:rsid w:val="00BD1607"/>
    <w:rsid w:val="00BD3804"/>
    <w:rsid w:val="00BD4BD0"/>
    <w:rsid w:val="00BD5D5A"/>
    <w:rsid w:val="00BD5E3A"/>
    <w:rsid w:val="00BD6FD8"/>
    <w:rsid w:val="00BE2B56"/>
    <w:rsid w:val="00BE321D"/>
    <w:rsid w:val="00BE36AE"/>
    <w:rsid w:val="00BE3ABC"/>
    <w:rsid w:val="00BE4277"/>
    <w:rsid w:val="00BE4EE4"/>
    <w:rsid w:val="00BE5991"/>
    <w:rsid w:val="00BE7076"/>
    <w:rsid w:val="00BE7890"/>
    <w:rsid w:val="00BF36E1"/>
    <w:rsid w:val="00BF3A20"/>
    <w:rsid w:val="00BF6495"/>
    <w:rsid w:val="00C06DB7"/>
    <w:rsid w:val="00C0749B"/>
    <w:rsid w:val="00C11747"/>
    <w:rsid w:val="00C12912"/>
    <w:rsid w:val="00C13E19"/>
    <w:rsid w:val="00C16507"/>
    <w:rsid w:val="00C16695"/>
    <w:rsid w:val="00C20DE8"/>
    <w:rsid w:val="00C21011"/>
    <w:rsid w:val="00C21356"/>
    <w:rsid w:val="00C219F6"/>
    <w:rsid w:val="00C2267F"/>
    <w:rsid w:val="00C23025"/>
    <w:rsid w:val="00C25224"/>
    <w:rsid w:val="00C261E0"/>
    <w:rsid w:val="00C30B4F"/>
    <w:rsid w:val="00C323D8"/>
    <w:rsid w:val="00C32DB0"/>
    <w:rsid w:val="00C34233"/>
    <w:rsid w:val="00C37A25"/>
    <w:rsid w:val="00C4090C"/>
    <w:rsid w:val="00C42D44"/>
    <w:rsid w:val="00C43420"/>
    <w:rsid w:val="00C444D2"/>
    <w:rsid w:val="00C457CE"/>
    <w:rsid w:val="00C45CD4"/>
    <w:rsid w:val="00C461D4"/>
    <w:rsid w:val="00C5398F"/>
    <w:rsid w:val="00C53BD5"/>
    <w:rsid w:val="00C578A4"/>
    <w:rsid w:val="00C60761"/>
    <w:rsid w:val="00C609CC"/>
    <w:rsid w:val="00C6123D"/>
    <w:rsid w:val="00C619AB"/>
    <w:rsid w:val="00C624C9"/>
    <w:rsid w:val="00C62F37"/>
    <w:rsid w:val="00C63078"/>
    <w:rsid w:val="00C661B9"/>
    <w:rsid w:val="00C7612C"/>
    <w:rsid w:val="00C818C6"/>
    <w:rsid w:val="00C82C12"/>
    <w:rsid w:val="00C83226"/>
    <w:rsid w:val="00C84375"/>
    <w:rsid w:val="00C90794"/>
    <w:rsid w:val="00C90835"/>
    <w:rsid w:val="00C9147F"/>
    <w:rsid w:val="00C92502"/>
    <w:rsid w:val="00C928A9"/>
    <w:rsid w:val="00C94864"/>
    <w:rsid w:val="00C97D68"/>
    <w:rsid w:val="00C97E05"/>
    <w:rsid w:val="00CA02FE"/>
    <w:rsid w:val="00CA1AC3"/>
    <w:rsid w:val="00CA2A7C"/>
    <w:rsid w:val="00CA2DAB"/>
    <w:rsid w:val="00CA3DAF"/>
    <w:rsid w:val="00CA422C"/>
    <w:rsid w:val="00CA5DBB"/>
    <w:rsid w:val="00CA66AA"/>
    <w:rsid w:val="00CB185A"/>
    <w:rsid w:val="00CB1DB1"/>
    <w:rsid w:val="00CB1F8E"/>
    <w:rsid w:val="00CB235B"/>
    <w:rsid w:val="00CB2E2B"/>
    <w:rsid w:val="00CB5A49"/>
    <w:rsid w:val="00CB691D"/>
    <w:rsid w:val="00CB7556"/>
    <w:rsid w:val="00CB7ED9"/>
    <w:rsid w:val="00CC0E0E"/>
    <w:rsid w:val="00CC4C84"/>
    <w:rsid w:val="00CD13CC"/>
    <w:rsid w:val="00CD1F84"/>
    <w:rsid w:val="00CD2EDD"/>
    <w:rsid w:val="00CD3B7B"/>
    <w:rsid w:val="00CD4A1B"/>
    <w:rsid w:val="00CD5F8E"/>
    <w:rsid w:val="00CD6BAE"/>
    <w:rsid w:val="00CE2200"/>
    <w:rsid w:val="00CE26C9"/>
    <w:rsid w:val="00CE293D"/>
    <w:rsid w:val="00CE7F4F"/>
    <w:rsid w:val="00CF0612"/>
    <w:rsid w:val="00CF0C1B"/>
    <w:rsid w:val="00CF19E6"/>
    <w:rsid w:val="00CF2BCE"/>
    <w:rsid w:val="00CF2D0E"/>
    <w:rsid w:val="00CF4255"/>
    <w:rsid w:val="00CF5DA0"/>
    <w:rsid w:val="00CF7082"/>
    <w:rsid w:val="00CF714A"/>
    <w:rsid w:val="00CF772E"/>
    <w:rsid w:val="00CF7F3F"/>
    <w:rsid w:val="00D0010F"/>
    <w:rsid w:val="00D015A3"/>
    <w:rsid w:val="00D01841"/>
    <w:rsid w:val="00D02C66"/>
    <w:rsid w:val="00D033A5"/>
    <w:rsid w:val="00D061DD"/>
    <w:rsid w:val="00D13F31"/>
    <w:rsid w:val="00D14BAA"/>
    <w:rsid w:val="00D15ED4"/>
    <w:rsid w:val="00D165B6"/>
    <w:rsid w:val="00D17CA2"/>
    <w:rsid w:val="00D21699"/>
    <w:rsid w:val="00D21FED"/>
    <w:rsid w:val="00D23986"/>
    <w:rsid w:val="00D26CA4"/>
    <w:rsid w:val="00D32D33"/>
    <w:rsid w:val="00D349D5"/>
    <w:rsid w:val="00D355D6"/>
    <w:rsid w:val="00D35ADE"/>
    <w:rsid w:val="00D418E8"/>
    <w:rsid w:val="00D41C99"/>
    <w:rsid w:val="00D42594"/>
    <w:rsid w:val="00D426B4"/>
    <w:rsid w:val="00D4285D"/>
    <w:rsid w:val="00D42F9F"/>
    <w:rsid w:val="00D43AE4"/>
    <w:rsid w:val="00D500E8"/>
    <w:rsid w:val="00D50D6B"/>
    <w:rsid w:val="00D52D91"/>
    <w:rsid w:val="00D561B8"/>
    <w:rsid w:val="00D67F14"/>
    <w:rsid w:val="00D721BF"/>
    <w:rsid w:val="00D73D6E"/>
    <w:rsid w:val="00D73F5D"/>
    <w:rsid w:val="00D766C6"/>
    <w:rsid w:val="00D8498D"/>
    <w:rsid w:val="00D85926"/>
    <w:rsid w:val="00D878B0"/>
    <w:rsid w:val="00D87B8B"/>
    <w:rsid w:val="00D91E39"/>
    <w:rsid w:val="00D96A40"/>
    <w:rsid w:val="00DA09A8"/>
    <w:rsid w:val="00DB0B73"/>
    <w:rsid w:val="00DB6426"/>
    <w:rsid w:val="00DB6462"/>
    <w:rsid w:val="00DB6EFA"/>
    <w:rsid w:val="00DB7AB8"/>
    <w:rsid w:val="00DC3077"/>
    <w:rsid w:val="00DC565F"/>
    <w:rsid w:val="00DC622B"/>
    <w:rsid w:val="00DC6EFB"/>
    <w:rsid w:val="00DC7D93"/>
    <w:rsid w:val="00DD1C76"/>
    <w:rsid w:val="00DD3AFD"/>
    <w:rsid w:val="00DD50B0"/>
    <w:rsid w:val="00DD5BE0"/>
    <w:rsid w:val="00DD7117"/>
    <w:rsid w:val="00DE071E"/>
    <w:rsid w:val="00DE2098"/>
    <w:rsid w:val="00DE3E92"/>
    <w:rsid w:val="00DE4228"/>
    <w:rsid w:val="00DE441E"/>
    <w:rsid w:val="00DE69DE"/>
    <w:rsid w:val="00DF016F"/>
    <w:rsid w:val="00DF0269"/>
    <w:rsid w:val="00DF1CD8"/>
    <w:rsid w:val="00DF647C"/>
    <w:rsid w:val="00E00490"/>
    <w:rsid w:val="00E00886"/>
    <w:rsid w:val="00E019A9"/>
    <w:rsid w:val="00E02F97"/>
    <w:rsid w:val="00E02FE8"/>
    <w:rsid w:val="00E071A4"/>
    <w:rsid w:val="00E11BAE"/>
    <w:rsid w:val="00E12D2F"/>
    <w:rsid w:val="00E13225"/>
    <w:rsid w:val="00E14CC0"/>
    <w:rsid w:val="00E16478"/>
    <w:rsid w:val="00E22B20"/>
    <w:rsid w:val="00E24EF0"/>
    <w:rsid w:val="00E253D7"/>
    <w:rsid w:val="00E26C3C"/>
    <w:rsid w:val="00E27698"/>
    <w:rsid w:val="00E33956"/>
    <w:rsid w:val="00E34138"/>
    <w:rsid w:val="00E37FA4"/>
    <w:rsid w:val="00E404E4"/>
    <w:rsid w:val="00E4057D"/>
    <w:rsid w:val="00E42FF3"/>
    <w:rsid w:val="00E436F4"/>
    <w:rsid w:val="00E46312"/>
    <w:rsid w:val="00E46696"/>
    <w:rsid w:val="00E477D2"/>
    <w:rsid w:val="00E47FA0"/>
    <w:rsid w:val="00E50398"/>
    <w:rsid w:val="00E50BBD"/>
    <w:rsid w:val="00E52C25"/>
    <w:rsid w:val="00E53448"/>
    <w:rsid w:val="00E53D46"/>
    <w:rsid w:val="00E53E19"/>
    <w:rsid w:val="00E54C3D"/>
    <w:rsid w:val="00E55A6E"/>
    <w:rsid w:val="00E575F9"/>
    <w:rsid w:val="00E62631"/>
    <w:rsid w:val="00E65CD7"/>
    <w:rsid w:val="00E673C0"/>
    <w:rsid w:val="00E70437"/>
    <w:rsid w:val="00E707D2"/>
    <w:rsid w:val="00E70B68"/>
    <w:rsid w:val="00E710C4"/>
    <w:rsid w:val="00E71B4E"/>
    <w:rsid w:val="00E7322D"/>
    <w:rsid w:val="00E73514"/>
    <w:rsid w:val="00E74281"/>
    <w:rsid w:val="00E74649"/>
    <w:rsid w:val="00E835DC"/>
    <w:rsid w:val="00E8382D"/>
    <w:rsid w:val="00E83B3B"/>
    <w:rsid w:val="00E90DD8"/>
    <w:rsid w:val="00E90EA6"/>
    <w:rsid w:val="00E9193B"/>
    <w:rsid w:val="00E920D7"/>
    <w:rsid w:val="00E93AB6"/>
    <w:rsid w:val="00E95034"/>
    <w:rsid w:val="00EA0362"/>
    <w:rsid w:val="00EA09F3"/>
    <w:rsid w:val="00EA0EB8"/>
    <w:rsid w:val="00EA2668"/>
    <w:rsid w:val="00EA38C2"/>
    <w:rsid w:val="00EA4506"/>
    <w:rsid w:val="00EA5F1A"/>
    <w:rsid w:val="00EA6C91"/>
    <w:rsid w:val="00EA6E10"/>
    <w:rsid w:val="00EA7573"/>
    <w:rsid w:val="00EB207B"/>
    <w:rsid w:val="00EB3F3C"/>
    <w:rsid w:val="00EB4178"/>
    <w:rsid w:val="00EB761D"/>
    <w:rsid w:val="00EB78BD"/>
    <w:rsid w:val="00EC02D3"/>
    <w:rsid w:val="00EC0DC3"/>
    <w:rsid w:val="00EC17B5"/>
    <w:rsid w:val="00EC1C46"/>
    <w:rsid w:val="00EC31D8"/>
    <w:rsid w:val="00EC35A3"/>
    <w:rsid w:val="00EC4F6B"/>
    <w:rsid w:val="00EC5B08"/>
    <w:rsid w:val="00EC6A98"/>
    <w:rsid w:val="00EC751E"/>
    <w:rsid w:val="00EC7A82"/>
    <w:rsid w:val="00EC7FCA"/>
    <w:rsid w:val="00ED048C"/>
    <w:rsid w:val="00ED049A"/>
    <w:rsid w:val="00ED1635"/>
    <w:rsid w:val="00ED453F"/>
    <w:rsid w:val="00ED4A9E"/>
    <w:rsid w:val="00ED5060"/>
    <w:rsid w:val="00EE3D54"/>
    <w:rsid w:val="00EE6C83"/>
    <w:rsid w:val="00EE6D5B"/>
    <w:rsid w:val="00EE71CF"/>
    <w:rsid w:val="00EF0C2E"/>
    <w:rsid w:val="00EF0CC1"/>
    <w:rsid w:val="00EF1D5D"/>
    <w:rsid w:val="00EF2A3E"/>
    <w:rsid w:val="00EF2D1C"/>
    <w:rsid w:val="00EF63F3"/>
    <w:rsid w:val="00EF7181"/>
    <w:rsid w:val="00F0005D"/>
    <w:rsid w:val="00F02390"/>
    <w:rsid w:val="00F02C9F"/>
    <w:rsid w:val="00F04080"/>
    <w:rsid w:val="00F06293"/>
    <w:rsid w:val="00F06E81"/>
    <w:rsid w:val="00F135F3"/>
    <w:rsid w:val="00F14201"/>
    <w:rsid w:val="00F165B9"/>
    <w:rsid w:val="00F17FFE"/>
    <w:rsid w:val="00F20BC4"/>
    <w:rsid w:val="00F21D4D"/>
    <w:rsid w:val="00F26A9C"/>
    <w:rsid w:val="00F3023A"/>
    <w:rsid w:val="00F33C16"/>
    <w:rsid w:val="00F33EDD"/>
    <w:rsid w:val="00F3462A"/>
    <w:rsid w:val="00F34E39"/>
    <w:rsid w:val="00F3566A"/>
    <w:rsid w:val="00F366A5"/>
    <w:rsid w:val="00F36BC8"/>
    <w:rsid w:val="00F3719F"/>
    <w:rsid w:val="00F40432"/>
    <w:rsid w:val="00F41116"/>
    <w:rsid w:val="00F41A3C"/>
    <w:rsid w:val="00F42F29"/>
    <w:rsid w:val="00F4365C"/>
    <w:rsid w:val="00F44C68"/>
    <w:rsid w:val="00F46D3F"/>
    <w:rsid w:val="00F52AAB"/>
    <w:rsid w:val="00F546F4"/>
    <w:rsid w:val="00F54F92"/>
    <w:rsid w:val="00F55A5B"/>
    <w:rsid w:val="00F55BB7"/>
    <w:rsid w:val="00F568C0"/>
    <w:rsid w:val="00F609D4"/>
    <w:rsid w:val="00F61C12"/>
    <w:rsid w:val="00F630B7"/>
    <w:rsid w:val="00F64517"/>
    <w:rsid w:val="00F6512D"/>
    <w:rsid w:val="00F6579C"/>
    <w:rsid w:val="00F67E6A"/>
    <w:rsid w:val="00F73078"/>
    <w:rsid w:val="00F73E6B"/>
    <w:rsid w:val="00F74E38"/>
    <w:rsid w:val="00F803F0"/>
    <w:rsid w:val="00F8412F"/>
    <w:rsid w:val="00F8733D"/>
    <w:rsid w:val="00F87BC4"/>
    <w:rsid w:val="00F91DB7"/>
    <w:rsid w:val="00F9227B"/>
    <w:rsid w:val="00F94D00"/>
    <w:rsid w:val="00F94DB9"/>
    <w:rsid w:val="00F975B5"/>
    <w:rsid w:val="00F978A4"/>
    <w:rsid w:val="00FA0127"/>
    <w:rsid w:val="00FA0FB9"/>
    <w:rsid w:val="00FA4DEE"/>
    <w:rsid w:val="00FB1E36"/>
    <w:rsid w:val="00FB3455"/>
    <w:rsid w:val="00FB3490"/>
    <w:rsid w:val="00FB46FA"/>
    <w:rsid w:val="00FB63CC"/>
    <w:rsid w:val="00FB6727"/>
    <w:rsid w:val="00FB7C02"/>
    <w:rsid w:val="00FC0303"/>
    <w:rsid w:val="00FC181A"/>
    <w:rsid w:val="00FC2A47"/>
    <w:rsid w:val="00FC4F5A"/>
    <w:rsid w:val="00FD2781"/>
    <w:rsid w:val="00FD3C48"/>
    <w:rsid w:val="00FD5BC9"/>
    <w:rsid w:val="00FD7EA8"/>
    <w:rsid w:val="00FE1BC9"/>
    <w:rsid w:val="00FE2414"/>
    <w:rsid w:val="00FE3387"/>
    <w:rsid w:val="00FE3828"/>
    <w:rsid w:val="00FE4746"/>
    <w:rsid w:val="00FE4899"/>
    <w:rsid w:val="00FE58D7"/>
    <w:rsid w:val="00FE5BEA"/>
    <w:rsid w:val="00FE77E5"/>
    <w:rsid w:val="00FF4088"/>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FFD2FD-B0F5-4D1C-ADD2-7EEA605C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xt.com/en/market-dat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uronext.com/en/privacy-policy" TargetMode="External"/><Relationship Id="rId4" Type="http://schemas.openxmlformats.org/officeDocument/2006/relationships/settings" Target="settings.xml"/><Relationship Id="rId9" Type="http://schemas.openxmlformats.org/officeDocument/2006/relationships/hyperlink" Target="mailto:databyeuronext@euronext.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BF4A3-D1B7-4573-AAF5-E507D9B0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1</TotalTime>
  <Pages>9</Pages>
  <Words>3210</Words>
  <Characters>18300</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title in the Subject property</vt:lpstr>
      <vt:lpstr>Document title in the Subject property</vt:lpstr>
    </vt:vector>
  </TitlesOfParts>
  <Company>Euronext</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Rob Steenks</cp:lastModifiedBy>
  <cp:revision>2</cp:revision>
  <cp:lastPrinted>2018-09-27T19:12:00Z</cp:lastPrinted>
  <dcterms:created xsi:type="dcterms:W3CDTF">2019-06-05T13:53:00Z</dcterms:created>
  <dcterms:modified xsi:type="dcterms:W3CDTF">2019-06-05T13:53:00Z</dcterms:modified>
</cp:coreProperties>
</file>